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4bis</w:t>
      </w:r>
      <w:r>
        <w:rPr>
          <w:rFonts w:ascii="Arial" w:hAnsi="Arial" w:cs="Arial"/>
          <w:b/>
          <w:sz w:val="24"/>
          <w:szCs w:val="24"/>
        </w:rPr>
        <w:t>-e</w:t>
      </w:r>
      <w:r>
        <w:rPr>
          <w:rFonts w:hint="eastAsia" w:ascii="Arial" w:hAnsi="Arial" w:cs="Arial"/>
          <w:b/>
          <w:sz w:val="24"/>
          <w:szCs w:val="24"/>
          <w:highlight w:val="none"/>
        </w:rPr>
        <w:t xml:space="preserve">                               </w:t>
      </w:r>
      <w:bookmarkStart w:id="5" w:name="_GoBack"/>
      <w:r>
        <w:rPr>
          <w:rFonts w:hint="eastAsia" w:ascii="Arial" w:hAnsi="Arial" w:cs="Arial"/>
          <w:b/>
          <w:sz w:val="24"/>
          <w:szCs w:val="24"/>
          <w:highlight w:val="none"/>
        </w:rPr>
        <w:t xml:space="preserve">R4-2216540 </w:t>
      </w:r>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0</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Oct</w:t>
      </w:r>
      <w:r>
        <w:rPr>
          <w:rFonts w:ascii="Arial" w:hAnsi="Arial" w:cs="Arial"/>
          <w:b/>
          <w:bCs/>
          <w:sz w:val="24"/>
          <w:szCs w:val="24"/>
        </w:rPr>
        <w:t xml:space="preserve"> – </w:t>
      </w:r>
      <w:r>
        <w:rPr>
          <w:rFonts w:hint="eastAsia" w:ascii="Arial" w:hAnsi="Arial" w:cs="Arial"/>
          <w:b/>
          <w:bCs/>
          <w:sz w:val="24"/>
          <w:szCs w:val="24"/>
          <w:lang w:val="en-US" w:eastAsia="zh-CN"/>
        </w:rPr>
        <w:t>19</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Oct,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6.13.4</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ATG BS and UE RF requirements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Discussion</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RP-221369</w:t>
      </w:r>
      <w:r>
        <w:rPr>
          <w:rFonts w:hint="eastAsia" w:cs="Times New Roman"/>
          <w:kern w:val="2"/>
          <w:sz w:val="21"/>
          <w:szCs w:val="22"/>
          <w:highlight w:val="none"/>
          <w:lang w:val="en-US" w:eastAsia="zh-CN" w:bidi="ar-SA"/>
        </w:rPr>
        <w:t>] on Air-to-ground network for NR was approved as one of Rel-18 RAN4 package. During the last RAN4 meeting, we have reached good progress for ATG BS in [2], however there are still some open issues left for further discussion. In this contribution, we want to share further views on ATG BS RF requirements..</w:t>
      </w:r>
    </w:p>
    <w:p>
      <w:pPr>
        <w:widowControl w:val="0"/>
        <w:numPr>
          <w:ilvl w:val="0"/>
          <w:numId w:val="2"/>
        </w:numPr>
        <w:overflowPunct/>
        <w:autoSpaceDE/>
        <w:autoSpaceDN/>
        <w:adjustRightInd/>
        <w:spacing w:after="0"/>
        <w:jc w:val="both"/>
        <w:textAlignment w:val="auto"/>
        <w:rPr>
          <w:kern w:val="2"/>
          <w:lang w:val="en-US" w:eastAsia="zh-CN"/>
        </w:rPr>
      </w:pPr>
      <w:r>
        <w:rPr>
          <w:kern w:val="2"/>
          <w:lang w:val="en-US" w:eastAsia="zh-CN"/>
        </w:rPr>
        <w:t xml:space="preserve">Specify features to core specifications </w:t>
      </w:r>
      <w:r>
        <w:rPr>
          <w:rFonts w:hint="eastAsia"/>
          <w:kern w:val="2"/>
          <w:lang w:val="en-US" w:eastAsia="zh-CN"/>
        </w:rPr>
        <w:t xml:space="preserve">for ATG BS and UE </w:t>
      </w:r>
      <w:r>
        <w:rPr>
          <w:kern w:val="2"/>
          <w:lang w:val="en-US" w:eastAsia="zh-CN"/>
        </w:rPr>
        <w:t>[RAN4]</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Scenario: </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BS on the ground, and the CPE type of UE mounted in the aircraft</w:t>
      </w:r>
    </w:p>
    <w:p>
      <w:pPr>
        <w:widowControl w:val="0"/>
        <w:numPr>
          <w:ilvl w:val="2"/>
          <w:numId w:val="2"/>
        </w:numPr>
        <w:overflowPunct/>
        <w:autoSpaceDE/>
        <w:autoSpaceDN/>
        <w:adjustRightInd/>
        <w:spacing w:after="0"/>
        <w:jc w:val="both"/>
        <w:textAlignment w:val="auto"/>
        <w:rPr>
          <w:rFonts w:hint="eastAsia"/>
          <w:kern w:val="2"/>
          <w:lang w:val="en-US" w:eastAsia="zh-CN"/>
        </w:rPr>
      </w:pPr>
      <w:r>
        <w:rPr>
          <w:kern w:val="2"/>
          <w:lang w:val="en-US" w:eastAsia="zh-CN"/>
        </w:rPr>
        <w:t>A direct radio link between BS on the ground and CPE type of UE mounted in the aircraft</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Note: The deployment characteristics described in</w:t>
      </w:r>
      <w:r>
        <w:rPr>
          <w:rFonts w:hint="eastAsia"/>
          <w:kern w:val="2"/>
          <w:lang w:val="en-US" w:eastAsia="zh-CN"/>
        </w:rPr>
        <w:t xml:space="preserve"> the</w:t>
      </w:r>
      <w:r>
        <w:rPr>
          <w:kern w:val="2"/>
          <w:lang w:val="en-US" w:eastAsia="zh-CN"/>
        </w:rPr>
        <w:t xml:space="preserve"> justification </w:t>
      </w:r>
      <w:r>
        <w:rPr>
          <w:rFonts w:hint="eastAsia"/>
          <w:kern w:val="2"/>
          <w:lang w:val="en-US" w:eastAsia="zh-CN"/>
        </w:rPr>
        <w:t>section shall be taken as a basis for the technical discussion</w:t>
      </w:r>
      <w:r>
        <w:rPr>
          <w:kern w:val="2"/>
          <w:lang w:val="en-US" w:eastAsia="zh-CN"/>
        </w:rPr>
        <w:t>.</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Specify core requirements for coexistence between ATG and IMT terrestrial network</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Example bands include n1, n78 and n79.</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Perform FR1 co-existence evaluation for ATG network (e.g. ACLR, ACS)</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Identify key characteristics where it is necessary to differentiate ATG ground-based BS and UEs from conventional ground based BS and UEs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Aim to reuse existing requirements for BS and UE where possible, e.g.,</w:t>
      </w:r>
    </w:p>
    <w:p>
      <w:pPr>
        <w:widowControl w:val="0"/>
        <w:numPr>
          <w:ilvl w:val="4"/>
          <w:numId w:val="2"/>
        </w:numPr>
        <w:overflowPunct/>
        <w:autoSpaceDE/>
        <w:autoSpaceDN/>
        <w:adjustRightInd/>
        <w:spacing w:after="0"/>
        <w:jc w:val="both"/>
        <w:textAlignment w:val="auto"/>
        <w:rPr>
          <w:kern w:val="2"/>
          <w:lang w:val="en-US" w:eastAsia="zh-CN"/>
        </w:rPr>
      </w:pPr>
      <w:r>
        <w:rPr>
          <w:kern w:val="2"/>
          <w:lang w:val="en-US" w:eastAsia="zh-CN"/>
        </w:rPr>
        <w:t>Reuse TN BS requirements for ATG BS</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Specify RF requirements for ATG UE/BS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Considering the results of co-existence simulations in terms of impact on emissions and RX requirements, cell sizes and link budgets, technology capabilities, likely BS and UE architectures and other relevant aspects.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 BS type 1-C/1-H/1-O and specify the requirements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 conductive requirements for UE</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Specify RRM core requirements for ATG UE</w:t>
      </w:r>
      <w:r>
        <w:rPr>
          <w:strike/>
          <w:kern w:val="2"/>
          <w:lang w:val="en-US" w:eastAsia="zh-CN"/>
        </w:rPr>
        <w:t xml:space="preserve"> </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Considering the different nature of ATG UEs and their view of the network, increased cell sizes and</w:t>
      </w:r>
      <w:r>
        <w:rPr>
          <w:rFonts w:hint="eastAsia"/>
          <w:kern w:val="2"/>
          <w:lang w:val="en-US" w:eastAsia="zh-CN"/>
        </w:rPr>
        <w:t xml:space="preserve"> </w:t>
      </w:r>
      <w:r>
        <w:rPr>
          <w:kern w:val="2"/>
          <w:lang w:val="en-US" w:eastAsia="zh-CN"/>
        </w:rPr>
        <w:t>other relevant aspects</w:t>
      </w:r>
    </w:p>
    <w:p>
      <w:pPr>
        <w:widowControl w:val="0"/>
        <w:numPr>
          <w:ilvl w:val="2"/>
          <w:numId w:val="2"/>
        </w:numPr>
        <w:overflowPunct/>
        <w:autoSpaceDE/>
        <w:autoSpaceDN/>
        <w:adjustRightInd/>
        <w:spacing w:after="0"/>
        <w:jc w:val="both"/>
        <w:textAlignment w:val="auto"/>
      </w:pPr>
      <w:r>
        <w:rPr>
          <w:kern w:val="2"/>
          <w:lang w:val="en-US" w:eastAsia="zh-CN"/>
        </w:rPr>
        <w:t>Specify new UE/BS type(s) for ATG network if necessary</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3"/>
      <w:bookmarkStart w:id="2" w:name="OLE_LINK20"/>
      <w:bookmarkStart w:id="3" w:name="OLE_LINK14"/>
      <w:bookmarkStart w:id="4" w:name="OLE_LINK1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2.1. ATG BS type</w:t>
      </w:r>
    </w:p>
    <w:p>
      <w:pPr>
        <w:autoSpaceDE/>
        <w:autoSpaceDN/>
        <w:adjustRightInd/>
        <w:snapToGrid/>
        <w:spacing w:before="0" w:beforeLines="-2147483648" w:after="0" w:afterLines="-2147483648" w:line="240" w:lineRule="auto"/>
        <w:jc w:val="left"/>
        <w:rPr>
          <w:rFonts w:hint="default"/>
          <w:sz w:val="20"/>
          <w:lang w:val="en-US" w:eastAsia="zh-CN"/>
        </w:rPr>
      </w:pPr>
      <w:r>
        <w:rPr>
          <w:rFonts w:hint="default" w:ascii="Times New Roman" w:hAnsi="Times New Roman" w:cs="Times New Roman"/>
          <w:sz w:val="22"/>
          <w:szCs w:val="22"/>
          <w:lang w:val="en-US" w:eastAsia="zh-CN"/>
        </w:rPr>
        <w:t>As</w:t>
      </w:r>
      <w:r>
        <w:rPr>
          <w:rFonts w:hint="eastAsia" w:cs="Times New Roman"/>
          <w:sz w:val="22"/>
          <w:szCs w:val="22"/>
          <w:lang w:val="en-US" w:eastAsia="zh-CN"/>
        </w:rPr>
        <w:t xml:space="preserve"> shown in the following Figure, ATG BS need to track the aircraft to provide the corresponding traffic service, therefore BS type 1-H or BS type 1-O should be more straight forward method to provide the beam tracking capability. In the last RAN4 meeting, we have reached the following agreement for ATG BS type with FFS for BS type 1-C for ATG BS. From our understanding, BS type 1-C is not appropriate BS type for it since BS type 1-C is not supposed to have beam tracking capability to serve the CPE mounted on the aircraft. We could understand the motivation that it might be quite easy and straight forward to define requirement for BS type 1-C for ATG BS since RF requirements for ATG BS type 1-H/1-O is defined on top of BS type 1-C, however from our understanding, 3GPP should give good guidance how to implement the practical ATG BS type, otherwise it might be misleading to the industry. </w:t>
      </w:r>
    </w:p>
    <w:p>
      <w:r>
        <w:drawing>
          <wp:inline distT="0" distB="0" distL="114300" distR="114300">
            <wp:extent cx="6188075" cy="1739265"/>
            <wp:effectExtent l="0" t="0" r="3175" b="133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5"/>
                    <a:stretch>
                      <a:fillRect/>
                    </a:stretch>
                  </pic:blipFill>
                  <pic:spPr>
                    <a:xfrm>
                      <a:off x="0" y="0"/>
                      <a:ext cx="6188075" cy="1739265"/>
                    </a:xfrm>
                    <a:prstGeom prst="rect">
                      <a:avLst/>
                    </a:prstGeom>
                    <a:noFill/>
                    <a:ln>
                      <a:noFill/>
                    </a:ln>
                  </pic:spPr>
                </pic:pic>
              </a:graphicData>
            </a:graphic>
          </wp:inline>
        </w:drawing>
      </w:r>
    </w:p>
    <w:p/>
    <w:p>
      <w:pPr>
        <w:jc w:val="center"/>
        <w:rPr>
          <w:rFonts w:hint="eastAsia"/>
          <w:b/>
          <w:bCs/>
          <w:color w:val="auto"/>
          <w:lang w:val="en-US" w:eastAsia="zh-CN"/>
        </w:rPr>
      </w:pPr>
      <w:r>
        <w:rPr>
          <w:rFonts w:hint="eastAsia"/>
          <w:b/>
          <w:bCs/>
          <w:lang w:val="en-US" w:eastAsia="zh-CN"/>
        </w:rPr>
        <w:t>Figure 2.2.1-1 ATG network coexisting with terrest</w:t>
      </w:r>
      <w:r>
        <w:rPr>
          <w:rFonts w:hint="eastAsia"/>
          <w:b/>
          <w:bCs/>
          <w:color w:val="auto"/>
          <w:lang w:val="en-US" w:eastAsia="zh-CN"/>
        </w:rPr>
        <w:t>rial network [Rural area]</w:t>
      </w:r>
    </w:p>
    <w:p>
      <w:pPr>
        <w:overflowPunct w:val="0"/>
        <w:autoSpaceDE w:val="0"/>
        <w:autoSpaceDN w:val="0"/>
        <w:adjustRightInd w:val="0"/>
        <w:snapToGrid/>
        <w:spacing w:before="0" w:beforeLines="-2147483648" w:after="0" w:afterLines="-2147483648" w:line="240" w:lineRule="auto"/>
        <w:jc w:val="left"/>
        <w:textAlignment w:val="baseline"/>
        <w:rPr>
          <w:rFonts w:hint="default"/>
          <w:sz w:val="20"/>
          <w:lang w:val="en-US" w:eastAsia="zh-CN"/>
        </w:rPr>
      </w:pPr>
      <w:r>
        <w:rPr>
          <w:rFonts w:eastAsiaTheme="minorEastAsia"/>
          <w:color w:val="0070C0"/>
          <w:highlight w:val="green"/>
          <w:lang w:val="en-US" w:eastAsia="zh-CN"/>
        </w:rPr>
        <w:t>Agreement: Use BS type 1-H, 1-O as baseline. FFS for BS type I-C.</w:t>
      </w:r>
    </w:p>
    <w:p>
      <w:pPr>
        <w:autoSpaceDE/>
        <w:autoSpaceDN/>
        <w:adjustRightInd/>
        <w:snapToGrid/>
        <w:spacing w:before="0" w:beforeLines="-2147483648" w:after="0" w:afterLines="-2147483648" w:line="240" w:lineRule="auto"/>
        <w:jc w:val="left"/>
        <w:rPr>
          <w:rFonts w:hint="default" w:cs="Times New Roman"/>
          <w:sz w:val="22"/>
          <w:szCs w:val="22"/>
          <w:lang w:val="en-US" w:eastAsia="zh-CN"/>
        </w:rPr>
      </w:pPr>
      <w:r>
        <w:rPr>
          <w:rFonts w:hint="eastAsia" w:cs="Times New Roman"/>
          <w:b/>
          <w:bCs/>
          <w:sz w:val="22"/>
          <w:szCs w:val="22"/>
          <w:lang w:val="en-US" w:eastAsia="zh-CN"/>
        </w:rPr>
        <w:t>Proposal 1</w:t>
      </w:r>
      <w:r>
        <w:rPr>
          <w:rFonts w:hint="eastAsia" w:cs="Times New Roman"/>
          <w:sz w:val="22"/>
          <w:szCs w:val="22"/>
          <w:lang w:val="en-US" w:eastAsia="zh-CN"/>
        </w:rPr>
        <w:t>: to preclude the BS type 1-C for ATG BS.</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ATG BS requirements</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sz w:val="20"/>
          <w:lang w:val="en-US" w:eastAsia="zh-CN"/>
        </w:rPr>
        <w:t>For the RF requirement of ATG BS, we have reached good consensus on lots of RF requirement of ATG BS,. Currently, EVM requirement, ACLR/UEM of transmitter and ACS/in-band blocking requirement of receiver are still kept open. For latter requirement as mentioned before, these are highly dependent on the outcome of coexistence study, therefore in this contribution, we want to further discuss the necessity of 256QAM for ATG BS and its feasibility to support 256QAM.</w:t>
      </w:r>
    </w:p>
    <w:p>
      <w:pPr>
        <w:autoSpaceDE/>
        <w:autoSpaceDN/>
        <w:adjustRightInd/>
        <w:snapToGrid/>
        <w:spacing w:before="0" w:beforeLines="-2147483648" w:after="0" w:afterLines="-2147483648" w:line="240" w:lineRule="auto"/>
        <w:jc w:val="left"/>
        <w:rPr>
          <w:rFonts w:hint="eastAsia"/>
          <w:sz w:val="20"/>
          <w:lang w:val="en-US" w:eastAsia="zh-CN"/>
        </w:rPr>
      </w:pPr>
      <w:r>
        <w:rPr>
          <w:rFonts w:hint="eastAsia"/>
          <w:sz w:val="20"/>
          <w:lang w:val="en-US" w:eastAsia="zh-CN"/>
        </w:rPr>
        <w:t>From the hardware feasibility perspective, the ATG BS are reusing the existing hardware of TN BS as much as possible. In other words, the all contributing factors for EVM performance should be the similar for ATG BS and the legacy TN BS, therefore it</w:t>
      </w:r>
      <w:r>
        <w:rPr>
          <w:rFonts w:hint="default"/>
          <w:sz w:val="20"/>
          <w:lang w:val="en-US" w:eastAsia="zh-CN"/>
        </w:rPr>
        <w:t>’</w:t>
      </w:r>
      <w:r>
        <w:rPr>
          <w:rFonts w:hint="eastAsia"/>
          <w:sz w:val="20"/>
          <w:lang w:val="en-US" w:eastAsia="zh-CN"/>
        </w:rPr>
        <w:t>s feasible to support the 256QAM at ATG BS with 3.5% EVM requirement.</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sz w:val="20"/>
          <w:lang w:val="en-US" w:eastAsia="zh-CN"/>
        </w:rPr>
        <w:t>In addition, based on the following downlink link budget for ATG CPE at the edge of cell radius 50km with its bore sight of ATG BS beam steering towards the ATG CPE, it seems that 22.6dB SNR could be achieved, therefore from my understanding, it</w:t>
      </w:r>
      <w:r>
        <w:rPr>
          <w:rFonts w:hint="default"/>
          <w:sz w:val="20"/>
          <w:lang w:val="en-US" w:eastAsia="zh-CN"/>
        </w:rPr>
        <w:t>’</w:t>
      </w:r>
      <w:r>
        <w:rPr>
          <w:rFonts w:hint="eastAsia"/>
          <w:sz w:val="20"/>
          <w:lang w:val="en-US" w:eastAsia="zh-CN"/>
        </w:rPr>
        <w:t xml:space="preserve">s still possible to provide the 256QAM in the downlink direction. </w:t>
      </w:r>
    </w:p>
    <w:tbl>
      <w:tblPr>
        <w:tblStyle w:val="23"/>
        <w:tblpPr w:leftFromText="180" w:rightFromText="180" w:vertAnchor="text" w:horzAnchor="page" w:tblpX="3530" w:tblpY="483"/>
        <w:tblOverlap w:val="never"/>
        <w:tblW w:w="4883" w:type="dxa"/>
        <w:tblInd w:w="0" w:type="dxa"/>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shd w:val="clear" w:color="auto" w:fill="auto"/>
        <w:tblLayout w:type="autofit"/>
        <w:tblCellMar>
          <w:top w:w="0" w:type="dxa"/>
          <w:left w:w="0" w:type="dxa"/>
          <w:bottom w:w="0" w:type="dxa"/>
          <w:right w:w="0" w:type="dxa"/>
        </w:tblCellMar>
      </w:tblPr>
      <w:tblGrid>
        <w:gridCol w:w="2153"/>
        <w:gridCol w:w="1080"/>
        <w:gridCol w:w="1650"/>
      </w:tblGrid>
      <w:tr>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shd w:val="clear" w:color="auto" w:fill="auto"/>
          <w:tblCellMar>
            <w:top w:w="0" w:type="dxa"/>
            <w:left w:w="0" w:type="dxa"/>
            <w:bottom w:w="0" w:type="dxa"/>
            <w:right w:w="0" w:type="dxa"/>
          </w:tblCellMar>
        </w:tblPrEx>
        <w:trPr>
          <w:trHeight w:val="300" w:hRule="atLeast"/>
        </w:trPr>
        <w:tc>
          <w:tcPr>
            <w:tcW w:w="215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ascii="等线" w:hAnsi="等线" w:eastAsia="等线" w:cs="等线"/>
                <w:b/>
                <w:i w:val="0"/>
                <w:color w:val="000000"/>
                <w:sz w:val="20"/>
                <w:szCs w:val="20"/>
                <w:u w:val="none"/>
              </w:rPr>
            </w:pPr>
            <w:r>
              <w:rPr>
                <w:rFonts w:hint="eastAsia" w:ascii="等线" w:hAnsi="等线" w:eastAsia="等线" w:cs="等线"/>
                <w:b/>
                <w:i w:val="0"/>
                <w:color w:val="000000"/>
                <w:kern w:val="0"/>
                <w:sz w:val="20"/>
                <w:szCs w:val="20"/>
                <w:u w:val="none"/>
                <w:lang w:val="en-US" w:eastAsia="zh-CN" w:bidi="ar"/>
              </w:rPr>
              <w:t>Downlink</w:t>
            </w:r>
          </w:p>
        </w:tc>
        <w:tc>
          <w:tcPr>
            <w:tcW w:w="108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0"/>
                <w:szCs w:val="20"/>
                <w:u w:val="none"/>
              </w:rPr>
            </w:pPr>
          </w:p>
        </w:tc>
        <w:tc>
          <w:tcPr>
            <w:tcW w:w="165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0"/>
                <w:szCs w:val="20"/>
                <w:u w:val="none"/>
              </w:rPr>
            </w:pPr>
          </w:p>
        </w:tc>
      </w:tr>
      <w:tr>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300" w:hRule="atLeast"/>
        </w:trPr>
        <w:tc>
          <w:tcPr>
            <w:tcW w:w="215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Tx</w:t>
            </w:r>
          </w:p>
        </w:tc>
        <w:tc>
          <w:tcPr>
            <w:tcW w:w="108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0"/>
                <w:szCs w:val="20"/>
                <w:u w:val="none"/>
              </w:rPr>
            </w:pPr>
          </w:p>
        </w:tc>
        <w:tc>
          <w:tcPr>
            <w:tcW w:w="165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0"/>
                <w:szCs w:val="20"/>
                <w:u w:val="none"/>
              </w:rPr>
            </w:pPr>
          </w:p>
        </w:tc>
      </w:tr>
      <w:tr>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shd w:val="clear" w:color="auto" w:fill="auto"/>
          <w:tblCellMar>
            <w:top w:w="0" w:type="dxa"/>
            <w:left w:w="0" w:type="dxa"/>
            <w:bottom w:w="0" w:type="dxa"/>
            <w:right w:w="0" w:type="dxa"/>
          </w:tblCellMar>
        </w:tblPrEx>
        <w:trPr>
          <w:trHeight w:val="285" w:hRule="atLeast"/>
        </w:trPr>
        <w:tc>
          <w:tcPr>
            <w:tcW w:w="215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gNB Tx power</w:t>
            </w:r>
          </w:p>
        </w:tc>
        <w:tc>
          <w:tcPr>
            <w:tcW w:w="108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dBm</w:t>
            </w:r>
          </w:p>
        </w:tc>
        <w:tc>
          <w:tcPr>
            <w:tcW w:w="165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46</w:t>
            </w:r>
          </w:p>
        </w:tc>
      </w:tr>
      <w:tr>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shd w:val="clear" w:color="auto" w:fill="auto"/>
          <w:tblCellMar>
            <w:top w:w="0" w:type="dxa"/>
            <w:left w:w="0" w:type="dxa"/>
            <w:bottom w:w="0" w:type="dxa"/>
            <w:right w:w="0" w:type="dxa"/>
          </w:tblCellMar>
        </w:tblPrEx>
        <w:trPr>
          <w:trHeight w:val="285" w:hRule="atLeast"/>
        </w:trPr>
        <w:tc>
          <w:tcPr>
            <w:tcW w:w="215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gNB Antenna Gain</w:t>
            </w:r>
          </w:p>
        </w:tc>
        <w:tc>
          <w:tcPr>
            <w:tcW w:w="108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dBi</w:t>
            </w:r>
          </w:p>
        </w:tc>
        <w:tc>
          <w:tcPr>
            <w:tcW w:w="165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25.16179974</w:t>
            </w:r>
          </w:p>
        </w:tc>
      </w:tr>
      <w:tr>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shd w:val="clear" w:color="auto" w:fill="auto"/>
          <w:tblCellMar>
            <w:top w:w="0" w:type="dxa"/>
            <w:left w:w="0" w:type="dxa"/>
            <w:bottom w:w="0" w:type="dxa"/>
            <w:right w:w="0" w:type="dxa"/>
          </w:tblCellMar>
        </w:tblPrEx>
        <w:trPr>
          <w:trHeight w:val="285" w:hRule="atLeast"/>
        </w:trPr>
        <w:tc>
          <w:tcPr>
            <w:tcW w:w="215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Tx EIRP</w:t>
            </w:r>
          </w:p>
        </w:tc>
        <w:tc>
          <w:tcPr>
            <w:tcW w:w="108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dBm</w:t>
            </w:r>
          </w:p>
        </w:tc>
        <w:tc>
          <w:tcPr>
            <w:tcW w:w="165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71.16179974</w:t>
            </w:r>
          </w:p>
        </w:tc>
      </w:tr>
      <w:tr>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shd w:val="clear" w:color="auto" w:fill="auto"/>
          <w:tblCellMar>
            <w:top w:w="0" w:type="dxa"/>
            <w:left w:w="0" w:type="dxa"/>
            <w:bottom w:w="0" w:type="dxa"/>
            <w:right w:w="0" w:type="dxa"/>
          </w:tblCellMar>
        </w:tblPrEx>
        <w:trPr>
          <w:trHeight w:val="315" w:hRule="atLeast"/>
        </w:trPr>
        <w:tc>
          <w:tcPr>
            <w:tcW w:w="215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0"/>
                <w:szCs w:val="20"/>
                <w:u w:val="none"/>
              </w:rPr>
            </w:pPr>
          </w:p>
        </w:tc>
        <w:tc>
          <w:tcPr>
            <w:tcW w:w="108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0"/>
                <w:szCs w:val="20"/>
                <w:u w:val="none"/>
              </w:rPr>
            </w:pPr>
          </w:p>
        </w:tc>
        <w:tc>
          <w:tcPr>
            <w:tcW w:w="165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0"/>
                <w:szCs w:val="20"/>
                <w:u w:val="none"/>
              </w:rPr>
            </w:pPr>
          </w:p>
        </w:tc>
      </w:tr>
      <w:tr>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300" w:hRule="atLeast"/>
        </w:trPr>
        <w:tc>
          <w:tcPr>
            <w:tcW w:w="215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Rx</w:t>
            </w:r>
          </w:p>
        </w:tc>
        <w:tc>
          <w:tcPr>
            <w:tcW w:w="108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0"/>
                <w:szCs w:val="20"/>
                <w:u w:val="none"/>
              </w:rPr>
            </w:pPr>
          </w:p>
        </w:tc>
        <w:tc>
          <w:tcPr>
            <w:tcW w:w="165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0"/>
                <w:szCs w:val="20"/>
                <w:u w:val="none"/>
              </w:rPr>
            </w:pPr>
          </w:p>
        </w:tc>
      </w:tr>
      <w:tr>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285" w:hRule="atLeast"/>
        </w:trPr>
        <w:tc>
          <w:tcPr>
            <w:tcW w:w="215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Thermal Noise Density</w:t>
            </w:r>
          </w:p>
        </w:tc>
        <w:tc>
          <w:tcPr>
            <w:tcW w:w="108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dBm/Hz</w:t>
            </w:r>
          </w:p>
        </w:tc>
        <w:tc>
          <w:tcPr>
            <w:tcW w:w="165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-174</w:t>
            </w:r>
          </w:p>
        </w:tc>
      </w:tr>
      <w:tr>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shd w:val="clear" w:color="auto" w:fill="auto"/>
          <w:tblCellMar>
            <w:top w:w="0" w:type="dxa"/>
            <w:left w:w="0" w:type="dxa"/>
            <w:bottom w:w="0" w:type="dxa"/>
            <w:right w:w="0" w:type="dxa"/>
          </w:tblCellMar>
        </w:tblPrEx>
        <w:trPr>
          <w:trHeight w:val="285" w:hRule="atLeast"/>
        </w:trPr>
        <w:tc>
          <w:tcPr>
            <w:tcW w:w="215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CPE Noise Figure</w:t>
            </w:r>
          </w:p>
        </w:tc>
        <w:tc>
          <w:tcPr>
            <w:tcW w:w="108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dBi</w:t>
            </w:r>
          </w:p>
        </w:tc>
        <w:tc>
          <w:tcPr>
            <w:tcW w:w="165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9</w:t>
            </w:r>
          </w:p>
        </w:tc>
      </w:tr>
      <w:tr>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shd w:val="clear" w:color="auto" w:fill="auto"/>
          <w:tblCellMar>
            <w:top w:w="0" w:type="dxa"/>
            <w:left w:w="0" w:type="dxa"/>
            <w:bottom w:w="0" w:type="dxa"/>
            <w:right w:w="0" w:type="dxa"/>
          </w:tblCellMar>
        </w:tblPrEx>
        <w:trPr>
          <w:trHeight w:val="285" w:hRule="atLeast"/>
        </w:trPr>
        <w:tc>
          <w:tcPr>
            <w:tcW w:w="215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CPE BW</w:t>
            </w:r>
          </w:p>
        </w:tc>
        <w:tc>
          <w:tcPr>
            <w:tcW w:w="108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MHz</w:t>
            </w:r>
          </w:p>
        </w:tc>
        <w:tc>
          <w:tcPr>
            <w:tcW w:w="165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20</w:t>
            </w:r>
          </w:p>
        </w:tc>
      </w:tr>
      <w:tr>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shd w:val="clear" w:color="auto" w:fill="auto"/>
          <w:tblCellMar>
            <w:top w:w="0" w:type="dxa"/>
            <w:left w:w="0" w:type="dxa"/>
            <w:bottom w:w="0" w:type="dxa"/>
            <w:right w:w="0" w:type="dxa"/>
          </w:tblCellMar>
        </w:tblPrEx>
        <w:trPr>
          <w:trHeight w:val="285" w:hRule="atLeast"/>
        </w:trPr>
        <w:tc>
          <w:tcPr>
            <w:tcW w:w="215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CPE BW</w:t>
            </w:r>
          </w:p>
        </w:tc>
        <w:tc>
          <w:tcPr>
            <w:tcW w:w="108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dBm</w:t>
            </w:r>
          </w:p>
        </w:tc>
        <w:tc>
          <w:tcPr>
            <w:tcW w:w="165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 xml:space="preserve">-91.99 </w:t>
            </w:r>
          </w:p>
        </w:tc>
      </w:tr>
      <w:tr>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shd w:val="clear" w:color="auto" w:fill="auto"/>
          <w:tblCellMar>
            <w:top w:w="0" w:type="dxa"/>
            <w:left w:w="0" w:type="dxa"/>
            <w:bottom w:w="0" w:type="dxa"/>
            <w:right w:w="0" w:type="dxa"/>
          </w:tblCellMar>
        </w:tblPrEx>
        <w:trPr>
          <w:trHeight w:val="285" w:hRule="atLeast"/>
        </w:trPr>
        <w:tc>
          <w:tcPr>
            <w:tcW w:w="215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CPE antenna gain</w:t>
            </w:r>
          </w:p>
        </w:tc>
        <w:tc>
          <w:tcPr>
            <w:tcW w:w="108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dBi</w:t>
            </w:r>
          </w:p>
        </w:tc>
        <w:tc>
          <w:tcPr>
            <w:tcW w:w="165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0</w:t>
            </w:r>
          </w:p>
        </w:tc>
      </w:tr>
      <w:tr>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shd w:val="clear" w:color="auto" w:fill="auto"/>
          <w:tblCellMar>
            <w:top w:w="0" w:type="dxa"/>
            <w:left w:w="0" w:type="dxa"/>
            <w:bottom w:w="0" w:type="dxa"/>
            <w:right w:w="0" w:type="dxa"/>
          </w:tblCellMar>
        </w:tblPrEx>
        <w:trPr>
          <w:trHeight w:val="315" w:hRule="atLeast"/>
        </w:trPr>
        <w:tc>
          <w:tcPr>
            <w:tcW w:w="215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0"/>
                <w:szCs w:val="20"/>
                <w:u w:val="none"/>
              </w:rPr>
            </w:pPr>
          </w:p>
        </w:tc>
        <w:tc>
          <w:tcPr>
            <w:tcW w:w="108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0"/>
                <w:szCs w:val="20"/>
                <w:u w:val="none"/>
              </w:rPr>
            </w:pPr>
          </w:p>
        </w:tc>
        <w:tc>
          <w:tcPr>
            <w:tcW w:w="165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0"/>
                <w:szCs w:val="20"/>
                <w:u w:val="none"/>
              </w:rPr>
            </w:pPr>
          </w:p>
        </w:tc>
      </w:tr>
      <w:tr>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300" w:hRule="atLeast"/>
        </w:trPr>
        <w:tc>
          <w:tcPr>
            <w:tcW w:w="215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Channel</w:t>
            </w:r>
          </w:p>
        </w:tc>
        <w:tc>
          <w:tcPr>
            <w:tcW w:w="108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Rural</w:t>
            </w:r>
          </w:p>
        </w:tc>
        <w:tc>
          <w:tcPr>
            <w:tcW w:w="165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0"/>
                <w:szCs w:val="20"/>
                <w:u w:val="none"/>
              </w:rPr>
            </w:pPr>
          </w:p>
        </w:tc>
      </w:tr>
      <w:tr>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shd w:val="clear" w:color="auto" w:fill="auto"/>
          <w:tblCellMar>
            <w:top w:w="0" w:type="dxa"/>
            <w:left w:w="0" w:type="dxa"/>
            <w:bottom w:w="0" w:type="dxa"/>
            <w:right w:w="0" w:type="dxa"/>
          </w:tblCellMar>
        </w:tblPrEx>
        <w:trPr>
          <w:trHeight w:val="285" w:hRule="atLeast"/>
        </w:trPr>
        <w:tc>
          <w:tcPr>
            <w:tcW w:w="215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fc</w:t>
            </w:r>
          </w:p>
        </w:tc>
        <w:tc>
          <w:tcPr>
            <w:tcW w:w="108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GHz</w:t>
            </w:r>
          </w:p>
        </w:tc>
        <w:tc>
          <w:tcPr>
            <w:tcW w:w="165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4.9</w:t>
            </w:r>
          </w:p>
        </w:tc>
      </w:tr>
      <w:tr>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shd w:val="clear" w:color="auto" w:fill="auto"/>
          <w:tblCellMar>
            <w:top w:w="0" w:type="dxa"/>
            <w:left w:w="0" w:type="dxa"/>
            <w:bottom w:w="0" w:type="dxa"/>
            <w:right w:w="0" w:type="dxa"/>
          </w:tblCellMar>
        </w:tblPrEx>
        <w:trPr>
          <w:trHeight w:val="285" w:hRule="atLeast"/>
        </w:trPr>
        <w:tc>
          <w:tcPr>
            <w:tcW w:w="215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CPE height</w:t>
            </w:r>
          </w:p>
        </w:tc>
        <w:tc>
          <w:tcPr>
            <w:tcW w:w="108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m</w:t>
            </w:r>
          </w:p>
        </w:tc>
        <w:tc>
          <w:tcPr>
            <w:tcW w:w="165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12000</w:t>
            </w:r>
          </w:p>
        </w:tc>
      </w:tr>
      <w:tr>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285" w:hRule="atLeast"/>
        </w:trPr>
        <w:tc>
          <w:tcPr>
            <w:tcW w:w="215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gNB height</w:t>
            </w:r>
          </w:p>
        </w:tc>
        <w:tc>
          <w:tcPr>
            <w:tcW w:w="108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m</w:t>
            </w:r>
          </w:p>
        </w:tc>
        <w:tc>
          <w:tcPr>
            <w:tcW w:w="165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35</w:t>
            </w:r>
          </w:p>
        </w:tc>
      </w:tr>
      <w:tr>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shd w:val="clear" w:color="auto" w:fill="auto"/>
          <w:tblCellMar>
            <w:top w:w="0" w:type="dxa"/>
            <w:left w:w="0" w:type="dxa"/>
            <w:bottom w:w="0" w:type="dxa"/>
            <w:right w:w="0" w:type="dxa"/>
          </w:tblCellMar>
        </w:tblPrEx>
        <w:trPr>
          <w:trHeight w:val="285" w:hRule="atLeast"/>
        </w:trPr>
        <w:tc>
          <w:tcPr>
            <w:tcW w:w="215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ISD</w:t>
            </w:r>
          </w:p>
        </w:tc>
        <w:tc>
          <w:tcPr>
            <w:tcW w:w="108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km</w:t>
            </w:r>
          </w:p>
        </w:tc>
        <w:tc>
          <w:tcPr>
            <w:tcW w:w="165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100</w:t>
            </w:r>
          </w:p>
        </w:tc>
      </w:tr>
      <w:tr>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shd w:val="clear" w:color="auto" w:fill="auto"/>
          <w:tblCellMar>
            <w:top w:w="0" w:type="dxa"/>
            <w:left w:w="0" w:type="dxa"/>
            <w:bottom w:w="0" w:type="dxa"/>
            <w:right w:w="0" w:type="dxa"/>
          </w:tblCellMar>
        </w:tblPrEx>
        <w:trPr>
          <w:trHeight w:val="285" w:hRule="atLeast"/>
        </w:trPr>
        <w:tc>
          <w:tcPr>
            <w:tcW w:w="215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Cell radius</w:t>
            </w:r>
          </w:p>
        </w:tc>
        <w:tc>
          <w:tcPr>
            <w:tcW w:w="108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km</w:t>
            </w:r>
          </w:p>
        </w:tc>
        <w:tc>
          <w:tcPr>
            <w:tcW w:w="165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50</w:t>
            </w:r>
          </w:p>
        </w:tc>
      </w:tr>
      <w:tr>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shd w:val="clear" w:color="auto" w:fill="auto"/>
          <w:tblCellMar>
            <w:top w:w="0" w:type="dxa"/>
            <w:left w:w="0" w:type="dxa"/>
            <w:bottom w:w="0" w:type="dxa"/>
            <w:right w:w="0" w:type="dxa"/>
          </w:tblCellMar>
        </w:tblPrEx>
        <w:trPr>
          <w:trHeight w:val="285" w:hRule="atLeast"/>
        </w:trPr>
        <w:tc>
          <w:tcPr>
            <w:tcW w:w="215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Distance</w:t>
            </w:r>
          </w:p>
        </w:tc>
        <w:tc>
          <w:tcPr>
            <w:tcW w:w="108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m</w:t>
            </w:r>
          </w:p>
        </w:tc>
        <w:tc>
          <w:tcPr>
            <w:tcW w:w="165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51411.68374</w:t>
            </w:r>
          </w:p>
        </w:tc>
      </w:tr>
      <w:tr>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285" w:hRule="atLeast"/>
        </w:trPr>
        <w:tc>
          <w:tcPr>
            <w:tcW w:w="215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Pathloss</w:t>
            </w:r>
          </w:p>
        </w:tc>
        <w:tc>
          <w:tcPr>
            <w:tcW w:w="108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dB</w:t>
            </w:r>
          </w:p>
        </w:tc>
        <w:tc>
          <w:tcPr>
            <w:tcW w:w="165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140.4669303</w:t>
            </w:r>
          </w:p>
        </w:tc>
      </w:tr>
      <w:tr>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285" w:hRule="atLeast"/>
        </w:trPr>
        <w:tc>
          <w:tcPr>
            <w:tcW w:w="215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SNR</w:t>
            </w:r>
          </w:p>
        </w:tc>
        <w:tc>
          <w:tcPr>
            <w:tcW w:w="108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0"/>
                <w:szCs w:val="20"/>
                <w:u w:val="none"/>
              </w:rPr>
            </w:pPr>
          </w:p>
        </w:tc>
        <w:tc>
          <w:tcPr>
            <w:tcW w:w="165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22.68456945</w:t>
            </w:r>
          </w:p>
        </w:tc>
      </w:tr>
    </w:tbl>
    <w:p>
      <w:pPr>
        <w:autoSpaceDE/>
        <w:autoSpaceDN/>
        <w:adjustRightInd/>
        <w:snapToGrid/>
        <w:spacing w:before="0" w:beforeLines="-2147483648" w:after="0" w:afterLines="-2147483648" w:line="240" w:lineRule="auto"/>
        <w:jc w:val="left"/>
        <w:rPr>
          <w:rFonts w:hint="default"/>
          <w:sz w:val="20"/>
          <w:lang w:val="en-US" w:eastAsia="zh-CN"/>
        </w:rPr>
      </w:pPr>
    </w:p>
    <w:p>
      <w:pPr>
        <w:autoSpaceDE/>
        <w:autoSpaceDN/>
        <w:adjustRightInd/>
        <w:snapToGrid/>
        <w:spacing w:before="0" w:beforeLines="-2147483648" w:after="0" w:afterLines="-2147483648" w:line="240" w:lineRule="auto"/>
        <w:jc w:val="center"/>
        <w:rPr>
          <w:rFonts w:hint="default"/>
          <w:sz w:val="20"/>
          <w:lang w:val="en-US" w:eastAsia="zh-CN"/>
        </w:rPr>
      </w:pP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t>
      </w:r>
      <w:r>
        <w:rPr>
          <w:rFonts w:hint="eastAsia" w:cs="Times New Roman"/>
          <w:kern w:val="2"/>
          <w:sz w:val="21"/>
          <w:szCs w:val="22"/>
          <w:highlight w:val="none"/>
          <w:lang w:val="en-US" w:eastAsia="zh-CN" w:bidi="ar-SA"/>
        </w:rPr>
        <w:t>shared some initial views on coexistence study for ATG BS and UE RF requirements and proposals are made as following:</w:t>
      </w:r>
    </w:p>
    <w:p>
      <w:pPr>
        <w:autoSpaceDE/>
        <w:autoSpaceDN/>
        <w:adjustRightInd/>
        <w:snapToGrid/>
        <w:spacing w:before="0" w:beforeLines="-2147483648" w:after="0" w:afterLines="-2147483648" w:line="240" w:lineRule="auto"/>
        <w:jc w:val="left"/>
        <w:rPr>
          <w:rFonts w:hint="default" w:cs="Times New Roman"/>
          <w:sz w:val="22"/>
          <w:szCs w:val="22"/>
          <w:lang w:val="en-US" w:eastAsia="zh-CN"/>
        </w:rPr>
      </w:pPr>
      <w:r>
        <w:rPr>
          <w:rFonts w:hint="eastAsia" w:cs="Times New Roman"/>
          <w:b/>
          <w:bCs/>
          <w:sz w:val="22"/>
          <w:szCs w:val="22"/>
          <w:lang w:val="en-US" w:eastAsia="zh-CN"/>
        </w:rPr>
        <w:t>Proposal 1</w:t>
      </w:r>
      <w:r>
        <w:rPr>
          <w:rFonts w:hint="eastAsia" w:cs="Times New Roman"/>
          <w:sz w:val="22"/>
          <w:szCs w:val="22"/>
          <w:lang w:val="en-US" w:eastAsia="zh-CN"/>
        </w:rPr>
        <w:t>: to preclude the BS type 1-C for ATG BS.</w:t>
      </w:r>
    </w:p>
    <w:p>
      <w:pPr>
        <w:autoSpaceDE/>
        <w:autoSpaceDN/>
        <w:adjustRightInd/>
        <w:snapToGrid/>
        <w:spacing w:before="0" w:beforeLines="-2147483648" w:after="0" w:afterLines="-2147483648" w:line="240" w:lineRule="auto"/>
        <w:jc w:val="left"/>
        <w:rPr>
          <w:rFonts w:hint="eastAsia" w:cs="Times New Roman"/>
          <w:sz w:val="22"/>
          <w:szCs w:val="22"/>
          <w:lang w:val="en-US" w:eastAsia="zh-CN"/>
        </w:rPr>
      </w:pPr>
      <w:r>
        <w:rPr>
          <w:rFonts w:hint="eastAsia" w:cs="Times New Roman"/>
          <w:b/>
          <w:bCs/>
          <w:sz w:val="22"/>
          <w:szCs w:val="22"/>
          <w:lang w:val="en-US" w:eastAsia="zh-CN"/>
        </w:rPr>
        <w:t>Proposal 2</w:t>
      </w:r>
      <w:r>
        <w:rPr>
          <w:rFonts w:hint="eastAsia" w:cs="Times New Roman"/>
          <w:sz w:val="22"/>
          <w:szCs w:val="22"/>
          <w:lang w:val="en-US" w:eastAsia="zh-CN"/>
        </w:rPr>
        <w:t>: to define the 256QAM for ATG BS with 3.5% EVM requirement.</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RP-221369, Core part: Air-to-ground network for NR</w:t>
      </w:r>
      <w:r>
        <w:rPr>
          <w:rFonts w:hint="eastAsia" w:cs="Times New Roman"/>
          <w:sz w:val="20"/>
          <w:szCs w:val="20"/>
          <w:highlight w:val="none"/>
          <w:lang w:val="en-US" w:eastAsia="zh-CN"/>
        </w:rPr>
        <w:t>, CMCC, Approved.</w:t>
      </w:r>
    </w:p>
    <w:p>
      <w:pPr>
        <w:pStyle w:val="52"/>
        <w:numPr>
          <w:ilvl w:val="0"/>
          <w:numId w:val="3"/>
        </w:numPr>
        <w:rPr>
          <w:rFonts w:hint="eastAsia" w:ascii="Times New Roman" w:hAnsi="Times New Roman" w:eastAsia="宋体" w:cs="Times New Roman"/>
          <w:sz w:val="20"/>
          <w:szCs w:val="20"/>
          <w:highlight w:val="none"/>
          <w:lang w:val="en-US" w:eastAsia="zh-CN"/>
        </w:rPr>
      </w:pPr>
      <w:r>
        <w:rPr>
          <w:rFonts w:eastAsia="宋体"/>
          <w:sz w:val="18"/>
          <w:szCs w:val="18"/>
        </w:rPr>
        <w:t>R4-2214461</w:t>
      </w:r>
      <w:r>
        <w:rPr>
          <w:rFonts w:hint="eastAsia"/>
          <w:sz w:val="18"/>
          <w:szCs w:val="18"/>
          <w:lang w:val="en-US" w:eastAsia="zh-CN"/>
        </w:rPr>
        <w:t>,</w:t>
      </w:r>
      <w:r>
        <w:rPr>
          <w:rFonts w:eastAsia="宋体"/>
          <w:sz w:val="18"/>
          <w:szCs w:val="18"/>
        </w:rPr>
        <w:t xml:space="preserve">WF on </w:t>
      </w:r>
      <w:r>
        <w:rPr>
          <w:rFonts w:hint="eastAsia" w:eastAsia="宋体"/>
          <w:sz w:val="18"/>
          <w:szCs w:val="18"/>
        </w:rPr>
        <w:t>BS</w:t>
      </w:r>
      <w:r>
        <w:rPr>
          <w:rFonts w:eastAsia="宋体"/>
          <w:sz w:val="18"/>
          <w:szCs w:val="18"/>
        </w:rPr>
        <w:t xml:space="preserve"> requirements for ATG</w:t>
      </w:r>
      <w:r>
        <w:rPr>
          <w:rFonts w:hint="eastAsia"/>
          <w:sz w:val="18"/>
          <w:szCs w:val="18"/>
          <w:lang w:val="en-US" w:eastAsia="zh-CN"/>
        </w:rPr>
        <w:t>, ZTE, Approved.</w:t>
      </w:r>
    </w:p>
    <w:p>
      <w:pPr>
        <w:pStyle w:val="52"/>
        <w:numPr>
          <w:ilvl w:val="0"/>
          <w:numId w:val="3"/>
        </w:numPr>
        <w:rPr>
          <w:rFonts w:hint="eastAsia" w:ascii="Times New Roman" w:hAnsi="Times New Roman" w:eastAsia="宋体" w:cs="Times New Roman"/>
          <w:sz w:val="20"/>
          <w:szCs w:val="20"/>
          <w:highlight w:val="none"/>
          <w:lang w:val="en-US" w:eastAsia="zh-CN"/>
        </w:rPr>
      </w:pPr>
      <w:r>
        <w:rPr>
          <w:rFonts w:eastAsia="宋体"/>
          <w:sz w:val="18"/>
          <w:szCs w:val="18"/>
        </w:rPr>
        <w:t>R4-2215147</w:t>
      </w:r>
      <w:r>
        <w:rPr>
          <w:rFonts w:hint="eastAsia"/>
          <w:sz w:val="18"/>
          <w:szCs w:val="18"/>
          <w:lang w:val="en-US" w:eastAsia="zh-CN"/>
        </w:rPr>
        <w:t>,</w:t>
      </w:r>
      <w:r>
        <w:rPr>
          <w:rFonts w:eastAsia="宋体"/>
          <w:sz w:val="18"/>
          <w:szCs w:val="18"/>
        </w:rPr>
        <w:t>WF on UE requirements for ATG</w:t>
      </w:r>
      <w:r>
        <w:rPr>
          <w:rFonts w:hint="eastAsia"/>
          <w:sz w:val="18"/>
          <w:szCs w:val="18"/>
          <w:lang w:val="en-US" w:eastAsia="zh-CN"/>
        </w:rPr>
        <w:t>, Apple, Approved.</w:t>
      </w: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3FD"/>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6DD"/>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1CE8"/>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696"/>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67A"/>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A7D"/>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3E80"/>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043"/>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D83"/>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94895"/>
    <w:rsid w:val="015C06BF"/>
    <w:rsid w:val="015D4E85"/>
    <w:rsid w:val="015F18F2"/>
    <w:rsid w:val="015F5FA3"/>
    <w:rsid w:val="016800B9"/>
    <w:rsid w:val="017059E0"/>
    <w:rsid w:val="01791D2E"/>
    <w:rsid w:val="01821D8F"/>
    <w:rsid w:val="018C2266"/>
    <w:rsid w:val="018C3642"/>
    <w:rsid w:val="018D7DCE"/>
    <w:rsid w:val="01941197"/>
    <w:rsid w:val="0195201D"/>
    <w:rsid w:val="019C3DA8"/>
    <w:rsid w:val="01A03B68"/>
    <w:rsid w:val="01A402CD"/>
    <w:rsid w:val="01A742A2"/>
    <w:rsid w:val="01B5409C"/>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53509"/>
    <w:rsid w:val="020F4070"/>
    <w:rsid w:val="021042F2"/>
    <w:rsid w:val="021A2C38"/>
    <w:rsid w:val="021D2604"/>
    <w:rsid w:val="02293A2A"/>
    <w:rsid w:val="022D5BF3"/>
    <w:rsid w:val="022F6559"/>
    <w:rsid w:val="022F66E0"/>
    <w:rsid w:val="02332CDA"/>
    <w:rsid w:val="0238292F"/>
    <w:rsid w:val="023E7088"/>
    <w:rsid w:val="0240545F"/>
    <w:rsid w:val="024C13AB"/>
    <w:rsid w:val="02532AA9"/>
    <w:rsid w:val="025732DD"/>
    <w:rsid w:val="0262197E"/>
    <w:rsid w:val="027035EC"/>
    <w:rsid w:val="028748E0"/>
    <w:rsid w:val="02892A7A"/>
    <w:rsid w:val="02927A98"/>
    <w:rsid w:val="029342BD"/>
    <w:rsid w:val="029D3139"/>
    <w:rsid w:val="02AF6836"/>
    <w:rsid w:val="02B06DC0"/>
    <w:rsid w:val="02B31189"/>
    <w:rsid w:val="02B85839"/>
    <w:rsid w:val="02C86D51"/>
    <w:rsid w:val="02CE3DD2"/>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E0FAC"/>
    <w:rsid w:val="031E4C95"/>
    <w:rsid w:val="032245C6"/>
    <w:rsid w:val="032E4DBB"/>
    <w:rsid w:val="0332111E"/>
    <w:rsid w:val="03332CAE"/>
    <w:rsid w:val="03343BC7"/>
    <w:rsid w:val="033D44BC"/>
    <w:rsid w:val="033D4E51"/>
    <w:rsid w:val="033F52A3"/>
    <w:rsid w:val="033F7E0C"/>
    <w:rsid w:val="03402EB3"/>
    <w:rsid w:val="034E41AA"/>
    <w:rsid w:val="03515BC4"/>
    <w:rsid w:val="0354325C"/>
    <w:rsid w:val="035C4C68"/>
    <w:rsid w:val="035D2EB4"/>
    <w:rsid w:val="03651217"/>
    <w:rsid w:val="03687ADD"/>
    <w:rsid w:val="03696DA6"/>
    <w:rsid w:val="036A231E"/>
    <w:rsid w:val="03774924"/>
    <w:rsid w:val="038134E3"/>
    <w:rsid w:val="03822F79"/>
    <w:rsid w:val="0395764C"/>
    <w:rsid w:val="039B69FD"/>
    <w:rsid w:val="03A32E58"/>
    <w:rsid w:val="03BD3737"/>
    <w:rsid w:val="03C0647A"/>
    <w:rsid w:val="03C6618A"/>
    <w:rsid w:val="03CD06E1"/>
    <w:rsid w:val="03CD6E1F"/>
    <w:rsid w:val="03D4427A"/>
    <w:rsid w:val="03E54642"/>
    <w:rsid w:val="03E71B27"/>
    <w:rsid w:val="03F310D8"/>
    <w:rsid w:val="03F54B29"/>
    <w:rsid w:val="03F81356"/>
    <w:rsid w:val="03F947E9"/>
    <w:rsid w:val="03FF3D36"/>
    <w:rsid w:val="04034FE6"/>
    <w:rsid w:val="040B2442"/>
    <w:rsid w:val="040C6238"/>
    <w:rsid w:val="040E704D"/>
    <w:rsid w:val="041875C1"/>
    <w:rsid w:val="04193A43"/>
    <w:rsid w:val="04225784"/>
    <w:rsid w:val="04252816"/>
    <w:rsid w:val="042A348F"/>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9B40DC"/>
    <w:rsid w:val="04D66461"/>
    <w:rsid w:val="04F711D9"/>
    <w:rsid w:val="051034CD"/>
    <w:rsid w:val="051F43BC"/>
    <w:rsid w:val="052432F7"/>
    <w:rsid w:val="05280A89"/>
    <w:rsid w:val="05367F8C"/>
    <w:rsid w:val="053E1AC2"/>
    <w:rsid w:val="0545651B"/>
    <w:rsid w:val="05583DC1"/>
    <w:rsid w:val="055A77BF"/>
    <w:rsid w:val="05687505"/>
    <w:rsid w:val="05734531"/>
    <w:rsid w:val="05784E56"/>
    <w:rsid w:val="05804262"/>
    <w:rsid w:val="05816D10"/>
    <w:rsid w:val="058E6ED4"/>
    <w:rsid w:val="05930F73"/>
    <w:rsid w:val="05940F3F"/>
    <w:rsid w:val="05991C8F"/>
    <w:rsid w:val="05A706E9"/>
    <w:rsid w:val="05B11A20"/>
    <w:rsid w:val="05B173DC"/>
    <w:rsid w:val="05B27D07"/>
    <w:rsid w:val="05B658ED"/>
    <w:rsid w:val="05BC079D"/>
    <w:rsid w:val="05BE42A5"/>
    <w:rsid w:val="05C256BE"/>
    <w:rsid w:val="05CC32B8"/>
    <w:rsid w:val="05D16BC6"/>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131CC"/>
    <w:rsid w:val="069B1966"/>
    <w:rsid w:val="06A32A23"/>
    <w:rsid w:val="06A55EB9"/>
    <w:rsid w:val="06AE0568"/>
    <w:rsid w:val="06B506C7"/>
    <w:rsid w:val="06B548E2"/>
    <w:rsid w:val="06BA7F49"/>
    <w:rsid w:val="06BB4F9D"/>
    <w:rsid w:val="06C10FC1"/>
    <w:rsid w:val="06C72EBF"/>
    <w:rsid w:val="06C9247F"/>
    <w:rsid w:val="06CD3A64"/>
    <w:rsid w:val="06D37792"/>
    <w:rsid w:val="06EB5A28"/>
    <w:rsid w:val="06F30672"/>
    <w:rsid w:val="06F35A7A"/>
    <w:rsid w:val="06F35AB6"/>
    <w:rsid w:val="06F66B05"/>
    <w:rsid w:val="06FD5A55"/>
    <w:rsid w:val="0702074E"/>
    <w:rsid w:val="07061D2C"/>
    <w:rsid w:val="0708086F"/>
    <w:rsid w:val="071F20D2"/>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B40F3"/>
    <w:rsid w:val="076F4BA4"/>
    <w:rsid w:val="07731BE6"/>
    <w:rsid w:val="07750A92"/>
    <w:rsid w:val="077F542D"/>
    <w:rsid w:val="077F5D16"/>
    <w:rsid w:val="07817B19"/>
    <w:rsid w:val="078B062A"/>
    <w:rsid w:val="07916BE4"/>
    <w:rsid w:val="07960AC6"/>
    <w:rsid w:val="07A2728D"/>
    <w:rsid w:val="07AA3E51"/>
    <w:rsid w:val="07BE51B2"/>
    <w:rsid w:val="07D835FB"/>
    <w:rsid w:val="07DD018B"/>
    <w:rsid w:val="07E014BE"/>
    <w:rsid w:val="07E04AA8"/>
    <w:rsid w:val="07E85751"/>
    <w:rsid w:val="07ED5339"/>
    <w:rsid w:val="07F97CF9"/>
    <w:rsid w:val="0800676F"/>
    <w:rsid w:val="080F4BCD"/>
    <w:rsid w:val="08123226"/>
    <w:rsid w:val="08171593"/>
    <w:rsid w:val="08325213"/>
    <w:rsid w:val="0835476E"/>
    <w:rsid w:val="08367FC2"/>
    <w:rsid w:val="08391661"/>
    <w:rsid w:val="084E0029"/>
    <w:rsid w:val="08550FFB"/>
    <w:rsid w:val="085D6C7E"/>
    <w:rsid w:val="08611CAF"/>
    <w:rsid w:val="0865781A"/>
    <w:rsid w:val="0866133E"/>
    <w:rsid w:val="08692F64"/>
    <w:rsid w:val="087716A2"/>
    <w:rsid w:val="0877256A"/>
    <w:rsid w:val="08780590"/>
    <w:rsid w:val="087E046C"/>
    <w:rsid w:val="08813C88"/>
    <w:rsid w:val="08942BDF"/>
    <w:rsid w:val="089852F1"/>
    <w:rsid w:val="08990610"/>
    <w:rsid w:val="089B5449"/>
    <w:rsid w:val="089D6B7D"/>
    <w:rsid w:val="08A03B5E"/>
    <w:rsid w:val="08A275F2"/>
    <w:rsid w:val="08B21918"/>
    <w:rsid w:val="08B40442"/>
    <w:rsid w:val="08B94847"/>
    <w:rsid w:val="08C14001"/>
    <w:rsid w:val="08D836B6"/>
    <w:rsid w:val="08F5200D"/>
    <w:rsid w:val="08F911CC"/>
    <w:rsid w:val="09016732"/>
    <w:rsid w:val="09127CF4"/>
    <w:rsid w:val="092234B5"/>
    <w:rsid w:val="09226860"/>
    <w:rsid w:val="092C26C9"/>
    <w:rsid w:val="09334A3F"/>
    <w:rsid w:val="094109B5"/>
    <w:rsid w:val="09444B9B"/>
    <w:rsid w:val="0953050B"/>
    <w:rsid w:val="09546457"/>
    <w:rsid w:val="0958129F"/>
    <w:rsid w:val="09582472"/>
    <w:rsid w:val="096308E4"/>
    <w:rsid w:val="096913F9"/>
    <w:rsid w:val="096B649C"/>
    <w:rsid w:val="096E727E"/>
    <w:rsid w:val="096F18AA"/>
    <w:rsid w:val="096F1D52"/>
    <w:rsid w:val="09700F7F"/>
    <w:rsid w:val="09713F26"/>
    <w:rsid w:val="09796C44"/>
    <w:rsid w:val="097E56C1"/>
    <w:rsid w:val="097E6C6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D923E4"/>
    <w:rsid w:val="09E14486"/>
    <w:rsid w:val="09E4648F"/>
    <w:rsid w:val="09F1407D"/>
    <w:rsid w:val="09F21427"/>
    <w:rsid w:val="0A093274"/>
    <w:rsid w:val="0A145E2C"/>
    <w:rsid w:val="0A19302D"/>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C5ABA"/>
    <w:rsid w:val="0ACD4245"/>
    <w:rsid w:val="0AD57FD6"/>
    <w:rsid w:val="0AD84FAB"/>
    <w:rsid w:val="0ADD7B55"/>
    <w:rsid w:val="0AFB6D95"/>
    <w:rsid w:val="0B0569D0"/>
    <w:rsid w:val="0B110AC0"/>
    <w:rsid w:val="0B1157EF"/>
    <w:rsid w:val="0B155EAD"/>
    <w:rsid w:val="0B1765E0"/>
    <w:rsid w:val="0B196B40"/>
    <w:rsid w:val="0B1B1EE1"/>
    <w:rsid w:val="0B1C1D7C"/>
    <w:rsid w:val="0B1D3582"/>
    <w:rsid w:val="0B22066E"/>
    <w:rsid w:val="0B2643BE"/>
    <w:rsid w:val="0B2D66EE"/>
    <w:rsid w:val="0B3F2432"/>
    <w:rsid w:val="0B474104"/>
    <w:rsid w:val="0B4D5218"/>
    <w:rsid w:val="0B5C18DB"/>
    <w:rsid w:val="0B5C42B3"/>
    <w:rsid w:val="0B5F215C"/>
    <w:rsid w:val="0B605DE1"/>
    <w:rsid w:val="0B622E13"/>
    <w:rsid w:val="0B651A68"/>
    <w:rsid w:val="0B717521"/>
    <w:rsid w:val="0B757FFB"/>
    <w:rsid w:val="0B884E90"/>
    <w:rsid w:val="0B892782"/>
    <w:rsid w:val="0B936E39"/>
    <w:rsid w:val="0B9C0905"/>
    <w:rsid w:val="0B9E13B0"/>
    <w:rsid w:val="0BAF15FD"/>
    <w:rsid w:val="0BB02C8B"/>
    <w:rsid w:val="0BB2460A"/>
    <w:rsid w:val="0BB41CFB"/>
    <w:rsid w:val="0BB53F3C"/>
    <w:rsid w:val="0BC739F0"/>
    <w:rsid w:val="0BD21910"/>
    <w:rsid w:val="0BDA3782"/>
    <w:rsid w:val="0BDB5584"/>
    <w:rsid w:val="0BE03DAA"/>
    <w:rsid w:val="0BE17727"/>
    <w:rsid w:val="0BEC55E4"/>
    <w:rsid w:val="0BF427F9"/>
    <w:rsid w:val="0C0B2ABC"/>
    <w:rsid w:val="0C0C632D"/>
    <w:rsid w:val="0C120111"/>
    <w:rsid w:val="0C12447E"/>
    <w:rsid w:val="0C177476"/>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9E1633"/>
    <w:rsid w:val="0CA1546A"/>
    <w:rsid w:val="0CA4660D"/>
    <w:rsid w:val="0CA46672"/>
    <w:rsid w:val="0CA92BAC"/>
    <w:rsid w:val="0CB471A1"/>
    <w:rsid w:val="0CB90F2E"/>
    <w:rsid w:val="0CBB5A0F"/>
    <w:rsid w:val="0CCD3B1C"/>
    <w:rsid w:val="0CD94674"/>
    <w:rsid w:val="0CE245F1"/>
    <w:rsid w:val="0CE4001E"/>
    <w:rsid w:val="0CE93652"/>
    <w:rsid w:val="0D0213CD"/>
    <w:rsid w:val="0D04575D"/>
    <w:rsid w:val="0D0612B8"/>
    <w:rsid w:val="0D066A9C"/>
    <w:rsid w:val="0D0714BC"/>
    <w:rsid w:val="0D136EF9"/>
    <w:rsid w:val="0D1A52C8"/>
    <w:rsid w:val="0D1C1D16"/>
    <w:rsid w:val="0D21615D"/>
    <w:rsid w:val="0D2454BF"/>
    <w:rsid w:val="0D2767B5"/>
    <w:rsid w:val="0D371A02"/>
    <w:rsid w:val="0D3E327E"/>
    <w:rsid w:val="0D432A3E"/>
    <w:rsid w:val="0D480AA9"/>
    <w:rsid w:val="0D5800C7"/>
    <w:rsid w:val="0D5B6E86"/>
    <w:rsid w:val="0D604B9B"/>
    <w:rsid w:val="0D6A353C"/>
    <w:rsid w:val="0D826C81"/>
    <w:rsid w:val="0D904522"/>
    <w:rsid w:val="0D976014"/>
    <w:rsid w:val="0D9D5AA6"/>
    <w:rsid w:val="0DA060E8"/>
    <w:rsid w:val="0DA57AAE"/>
    <w:rsid w:val="0DB76EF8"/>
    <w:rsid w:val="0DCE36F3"/>
    <w:rsid w:val="0DD621E4"/>
    <w:rsid w:val="0DDB5EF5"/>
    <w:rsid w:val="0DDD2372"/>
    <w:rsid w:val="0DDE1317"/>
    <w:rsid w:val="0DE55D4A"/>
    <w:rsid w:val="0DEE77C3"/>
    <w:rsid w:val="0DF0225F"/>
    <w:rsid w:val="0DF367C2"/>
    <w:rsid w:val="0DFC48AF"/>
    <w:rsid w:val="0DFF2594"/>
    <w:rsid w:val="0E0313B1"/>
    <w:rsid w:val="0E062A96"/>
    <w:rsid w:val="0E067778"/>
    <w:rsid w:val="0E0D1A47"/>
    <w:rsid w:val="0E176FCD"/>
    <w:rsid w:val="0E1C0C6C"/>
    <w:rsid w:val="0E281319"/>
    <w:rsid w:val="0E3217E8"/>
    <w:rsid w:val="0E387AA5"/>
    <w:rsid w:val="0E3C2CCD"/>
    <w:rsid w:val="0E3F0E9A"/>
    <w:rsid w:val="0E400D03"/>
    <w:rsid w:val="0E485C9B"/>
    <w:rsid w:val="0E5E2B07"/>
    <w:rsid w:val="0E6B42BC"/>
    <w:rsid w:val="0E771E51"/>
    <w:rsid w:val="0E796EA0"/>
    <w:rsid w:val="0E7A2A61"/>
    <w:rsid w:val="0E7C0762"/>
    <w:rsid w:val="0E8118C0"/>
    <w:rsid w:val="0E9A17E3"/>
    <w:rsid w:val="0EA11114"/>
    <w:rsid w:val="0EA35AC0"/>
    <w:rsid w:val="0EB34961"/>
    <w:rsid w:val="0EB9447E"/>
    <w:rsid w:val="0EC11B24"/>
    <w:rsid w:val="0EC468A2"/>
    <w:rsid w:val="0ECA0784"/>
    <w:rsid w:val="0ECC4066"/>
    <w:rsid w:val="0ECE7C5F"/>
    <w:rsid w:val="0ED12B32"/>
    <w:rsid w:val="0EDA48C8"/>
    <w:rsid w:val="0EF75D05"/>
    <w:rsid w:val="0EF957FE"/>
    <w:rsid w:val="0EFE2ACB"/>
    <w:rsid w:val="0F0D240A"/>
    <w:rsid w:val="0F0E2F3A"/>
    <w:rsid w:val="0F12247A"/>
    <w:rsid w:val="0F1D0ECD"/>
    <w:rsid w:val="0F3452E0"/>
    <w:rsid w:val="0F364BC2"/>
    <w:rsid w:val="0F3A630E"/>
    <w:rsid w:val="0F3B1C05"/>
    <w:rsid w:val="0F403ADC"/>
    <w:rsid w:val="0F455F85"/>
    <w:rsid w:val="0F49564D"/>
    <w:rsid w:val="0F4D1918"/>
    <w:rsid w:val="0F5075AE"/>
    <w:rsid w:val="0F521719"/>
    <w:rsid w:val="0F571705"/>
    <w:rsid w:val="0F584757"/>
    <w:rsid w:val="0F62182B"/>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B261C9"/>
    <w:rsid w:val="0FB31343"/>
    <w:rsid w:val="0FC12836"/>
    <w:rsid w:val="0FD95333"/>
    <w:rsid w:val="0FEC322B"/>
    <w:rsid w:val="0FEC6EF6"/>
    <w:rsid w:val="10045EE6"/>
    <w:rsid w:val="10064098"/>
    <w:rsid w:val="100C1580"/>
    <w:rsid w:val="100D3B17"/>
    <w:rsid w:val="10154FE6"/>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7F2D99"/>
    <w:rsid w:val="10812E12"/>
    <w:rsid w:val="10836F99"/>
    <w:rsid w:val="10886883"/>
    <w:rsid w:val="108A2129"/>
    <w:rsid w:val="10924B2D"/>
    <w:rsid w:val="10953B42"/>
    <w:rsid w:val="10B0273A"/>
    <w:rsid w:val="10B7486E"/>
    <w:rsid w:val="10CC5735"/>
    <w:rsid w:val="10CD2323"/>
    <w:rsid w:val="10D13F1D"/>
    <w:rsid w:val="10D679E0"/>
    <w:rsid w:val="10FA45D2"/>
    <w:rsid w:val="11024527"/>
    <w:rsid w:val="110A4489"/>
    <w:rsid w:val="11150F62"/>
    <w:rsid w:val="111A28E5"/>
    <w:rsid w:val="112100B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47341"/>
    <w:rsid w:val="11947B53"/>
    <w:rsid w:val="11996649"/>
    <w:rsid w:val="11AA61BD"/>
    <w:rsid w:val="11AC7561"/>
    <w:rsid w:val="11AE6531"/>
    <w:rsid w:val="11AF439E"/>
    <w:rsid w:val="11B50817"/>
    <w:rsid w:val="11B66269"/>
    <w:rsid w:val="11BA0839"/>
    <w:rsid w:val="11CA3974"/>
    <w:rsid w:val="11CB1798"/>
    <w:rsid w:val="11E0412D"/>
    <w:rsid w:val="11E4369D"/>
    <w:rsid w:val="11EE4F27"/>
    <w:rsid w:val="11F267E8"/>
    <w:rsid w:val="11F427FC"/>
    <w:rsid w:val="12066C25"/>
    <w:rsid w:val="1210456D"/>
    <w:rsid w:val="12134828"/>
    <w:rsid w:val="12143598"/>
    <w:rsid w:val="121729B6"/>
    <w:rsid w:val="121920F8"/>
    <w:rsid w:val="12220941"/>
    <w:rsid w:val="122A6318"/>
    <w:rsid w:val="122C6138"/>
    <w:rsid w:val="123616D6"/>
    <w:rsid w:val="12396B0A"/>
    <w:rsid w:val="123A52C3"/>
    <w:rsid w:val="123E0CDC"/>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1046DE"/>
    <w:rsid w:val="131B2229"/>
    <w:rsid w:val="131B463A"/>
    <w:rsid w:val="131D12BF"/>
    <w:rsid w:val="131D5DAE"/>
    <w:rsid w:val="13217B01"/>
    <w:rsid w:val="132625C2"/>
    <w:rsid w:val="132A7435"/>
    <w:rsid w:val="13322AD3"/>
    <w:rsid w:val="133B5756"/>
    <w:rsid w:val="134904A6"/>
    <w:rsid w:val="134E7949"/>
    <w:rsid w:val="1353499A"/>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0675B"/>
    <w:rsid w:val="13C4728B"/>
    <w:rsid w:val="13CA31CB"/>
    <w:rsid w:val="13CD1105"/>
    <w:rsid w:val="13D27C86"/>
    <w:rsid w:val="13D765AD"/>
    <w:rsid w:val="13DC36E2"/>
    <w:rsid w:val="13EC6EA1"/>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E0A7B"/>
    <w:rsid w:val="14A82A63"/>
    <w:rsid w:val="14A86EA4"/>
    <w:rsid w:val="14AC358C"/>
    <w:rsid w:val="14B76730"/>
    <w:rsid w:val="14BE030B"/>
    <w:rsid w:val="14C767C8"/>
    <w:rsid w:val="14DE753E"/>
    <w:rsid w:val="14F51028"/>
    <w:rsid w:val="14F549EC"/>
    <w:rsid w:val="14F92549"/>
    <w:rsid w:val="14FB4950"/>
    <w:rsid w:val="14FD4800"/>
    <w:rsid w:val="14FE45D8"/>
    <w:rsid w:val="150650CB"/>
    <w:rsid w:val="150E6B8B"/>
    <w:rsid w:val="15157DF4"/>
    <w:rsid w:val="151B0462"/>
    <w:rsid w:val="151C45D8"/>
    <w:rsid w:val="15290336"/>
    <w:rsid w:val="15297BD7"/>
    <w:rsid w:val="155424D6"/>
    <w:rsid w:val="155605E9"/>
    <w:rsid w:val="155B1745"/>
    <w:rsid w:val="155F651D"/>
    <w:rsid w:val="15655F19"/>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E3D9D"/>
    <w:rsid w:val="15C3211C"/>
    <w:rsid w:val="15C61DCD"/>
    <w:rsid w:val="15D4474D"/>
    <w:rsid w:val="15D61B6F"/>
    <w:rsid w:val="15D7597F"/>
    <w:rsid w:val="160C437B"/>
    <w:rsid w:val="161033BE"/>
    <w:rsid w:val="16160429"/>
    <w:rsid w:val="161C3234"/>
    <w:rsid w:val="162928DA"/>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559B3"/>
    <w:rsid w:val="16BA18A0"/>
    <w:rsid w:val="16BD160C"/>
    <w:rsid w:val="16BE109A"/>
    <w:rsid w:val="16C2724F"/>
    <w:rsid w:val="16C41FCF"/>
    <w:rsid w:val="16C738FD"/>
    <w:rsid w:val="16D359B1"/>
    <w:rsid w:val="16DC6856"/>
    <w:rsid w:val="16E7220A"/>
    <w:rsid w:val="16F7773E"/>
    <w:rsid w:val="16FD7F89"/>
    <w:rsid w:val="170133DA"/>
    <w:rsid w:val="170259E1"/>
    <w:rsid w:val="17026088"/>
    <w:rsid w:val="170353FD"/>
    <w:rsid w:val="17056BCC"/>
    <w:rsid w:val="171053FC"/>
    <w:rsid w:val="1715378E"/>
    <w:rsid w:val="17256955"/>
    <w:rsid w:val="172B6CEB"/>
    <w:rsid w:val="17343071"/>
    <w:rsid w:val="17350245"/>
    <w:rsid w:val="17382580"/>
    <w:rsid w:val="174D3983"/>
    <w:rsid w:val="17595246"/>
    <w:rsid w:val="175E4288"/>
    <w:rsid w:val="175F6489"/>
    <w:rsid w:val="17652ACF"/>
    <w:rsid w:val="176C704A"/>
    <w:rsid w:val="177653C5"/>
    <w:rsid w:val="17844C56"/>
    <w:rsid w:val="179559A6"/>
    <w:rsid w:val="17957384"/>
    <w:rsid w:val="17A30F12"/>
    <w:rsid w:val="17BA48D6"/>
    <w:rsid w:val="17C0378A"/>
    <w:rsid w:val="17C535A1"/>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67BFD"/>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979C0"/>
    <w:rsid w:val="18DE1E44"/>
    <w:rsid w:val="18E67034"/>
    <w:rsid w:val="18E872D7"/>
    <w:rsid w:val="18EA68A3"/>
    <w:rsid w:val="18F06558"/>
    <w:rsid w:val="18F3471F"/>
    <w:rsid w:val="18F931E6"/>
    <w:rsid w:val="18FA042B"/>
    <w:rsid w:val="18FE4771"/>
    <w:rsid w:val="19045A0C"/>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9C6F7B"/>
    <w:rsid w:val="19A7296F"/>
    <w:rsid w:val="19B94DE5"/>
    <w:rsid w:val="19BB7983"/>
    <w:rsid w:val="19CA4702"/>
    <w:rsid w:val="19D76F77"/>
    <w:rsid w:val="19DE7440"/>
    <w:rsid w:val="19ED386F"/>
    <w:rsid w:val="19FF1298"/>
    <w:rsid w:val="1A045B87"/>
    <w:rsid w:val="1A125E6A"/>
    <w:rsid w:val="1A1417E6"/>
    <w:rsid w:val="1A210157"/>
    <w:rsid w:val="1A4045EA"/>
    <w:rsid w:val="1A40749F"/>
    <w:rsid w:val="1A484A02"/>
    <w:rsid w:val="1A4D1CE1"/>
    <w:rsid w:val="1A5760FC"/>
    <w:rsid w:val="1A5B0C0F"/>
    <w:rsid w:val="1A5F7253"/>
    <w:rsid w:val="1A6A0EEA"/>
    <w:rsid w:val="1A6D22C8"/>
    <w:rsid w:val="1A725418"/>
    <w:rsid w:val="1A7916DE"/>
    <w:rsid w:val="1A7A2EF9"/>
    <w:rsid w:val="1A7F4EDC"/>
    <w:rsid w:val="1A813E2C"/>
    <w:rsid w:val="1A846A08"/>
    <w:rsid w:val="1A8F2FDB"/>
    <w:rsid w:val="1A960E81"/>
    <w:rsid w:val="1A972C69"/>
    <w:rsid w:val="1A9A0C93"/>
    <w:rsid w:val="1AA918D7"/>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069B6"/>
    <w:rsid w:val="1B1613A0"/>
    <w:rsid w:val="1B2A7E36"/>
    <w:rsid w:val="1B2F42C3"/>
    <w:rsid w:val="1B324397"/>
    <w:rsid w:val="1B372EB9"/>
    <w:rsid w:val="1B39636C"/>
    <w:rsid w:val="1B40005E"/>
    <w:rsid w:val="1B4268B4"/>
    <w:rsid w:val="1B427936"/>
    <w:rsid w:val="1B5D11B8"/>
    <w:rsid w:val="1B5D3106"/>
    <w:rsid w:val="1B7906CE"/>
    <w:rsid w:val="1B793CE8"/>
    <w:rsid w:val="1B7D07F3"/>
    <w:rsid w:val="1B831B2B"/>
    <w:rsid w:val="1B944685"/>
    <w:rsid w:val="1BA258AE"/>
    <w:rsid w:val="1BA32BDB"/>
    <w:rsid w:val="1BA57F07"/>
    <w:rsid w:val="1BAA3905"/>
    <w:rsid w:val="1BB01F6E"/>
    <w:rsid w:val="1BB81DD8"/>
    <w:rsid w:val="1BB848C7"/>
    <w:rsid w:val="1BB86F3A"/>
    <w:rsid w:val="1BCA7505"/>
    <w:rsid w:val="1BD91032"/>
    <w:rsid w:val="1BEF7D4B"/>
    <w:rsid w:val="1BF768CD"/>
    <w:rsid w:val="1BF92025"/>
    <w:rsid w:val="1BF9326D"/>
    <w:rsid w:val="1C036FDA"/>
    <w:rsid w:val="1C0730F3"/>
    <w:rsid w:val="1C08111C"/>
    <w:rsid w:val="1C0B33CB"/>
    <w:rsid w:val="1C0D0258"/>
    <w:rsid w:val="1C0D60C9"/>
    <w:rsid w:val="1C191CF6"/>
    <w:rsid w:val="1C206F70"/>
    <w:rsid w:val="1C33796F"/>
    <w:rsid w:val="1C341EE3"/>
    <w:rsid w:val="1C441419"/>
    <w:rsid w:val="1C4774DD"/>
    <w:rsid w:val="1C4A45C4"/>
    <w:rsid w:val="1C4B3310"/>
    <w:rsid w:val="1C4F548C"/>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97139"/>
    <w:rsid w:val="1CE13063"/>
    <w:rsid w:val="1CE2616E"/>
    <w:rsid w:val="1CF333A5"/>
    <w:rsid w:val="1D023336"/>
    <w:rsid w:val="1D031DDA"/>
    <w:rsid w:val="1D0B731D"/>
    <w:rsid w:val="1D1072EE"/>
    <w:rsid w:val="1D1D6A68"/>
    <w:rsid w:val="1D1F1D0C"/>
    <w:rsid w:val="1D2054C4"/>
    <w:rsid w:val="1D24658B"/>
    <w:rsid w:val="1D2E77E8"/>
    <w:rsid w:val="1D4969F4"/>
    <w:rsid w:val="1D4C117F"/>
    <w:rsid w:val="1D513E68"/>
    <w:rsid w:val="1D563E2F"/>
    <w:rsid w:val="1D5A17CD"/>
    <w:rsid w:val="1D5F4D3D"/>
    <w:rsid w:val="1D6033FE"/>
    <w:rsid w:val="1D684015"/>
    <w:rsid w:val="1D6F79AF"/>
    <w:rsid w:val="1D7C6E19"/>
    <w:rsid w:val="1D8F5B72"/>
    <w:rsid w:val="1D8F6826"/>
    <w:rsid w:val="1D9C5DA0"/>
    <w:rsid w:val="1D9C7126"/>
    <w:rsid w:val="1D9F462B"/>
    <w:rsid w:val="1DA265B5"/>
    <w:rsid w:val="1DB26ED0"/>
    <w:rsid w:val="1DB835A9"/>
    <w:rsid w:val="1DC603E1"/>
    <w:rsid w:val="1DEC45ED"/>
    <w:rsid w:val="1DF2745E"/>
    <w:rsid w:val="1DF623E3"/>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63092"/>
    <w:rsid w:val="1EC80437"/>
    <w:rsid w:val="1ED15DFD"/>
    <w:rsid w:val="1ED874EC"/>
    <w:rsid w:val="1ED94E25"/>
    <w:rsid w:val="1EDB6C5F"/>
    <w:rsid w:val="1EE36B24"/>
    <w:rsid w:val="1EE6740D"/>
    <w:rsid w:val="1EEC1621"/>
    <w:rsid w:val="1EED7A29"/>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822F7"/>
    <w:rsid w:val="1FE91483"/>
    <w:rsid w:val="1FED166B"/>
    <w:rsid w:val="1FF05FBA"/>
    <w:rsid w:val="1FF2649D"/>
    <w:rsid w:val="2000119F"/>
    <w:rsid w:val="20007200"/>
    <w:rsid w:val="20023827"/>
    <w:rsid w:val="200D53BE"/>
    <w:rsid w:val="200F6F03"/>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A17A4"/>
    <w:rsid w:val="209E715A"/>
    <w:rsid w:val="20A70ABE"/>
    <w:rsid w:val="20AB6447"/>
    <w:rsid w:val="20B31F49"/>
    <w:rsid w:val="20B836F9"/>
    <w:rsid w:val="20BD741D"/>
    <w:rsid w:val="20BF422E"/>
    <w:rsid w:val="20C10077"/>
    <w:rsid w:val="20C261C8"/>
    <w:rsid w:val="20C96FD1"/>
    <w:rsid w:val="20CC2666"/>
    <w:rsid w:val="20D379A5"/>
    <w:rsid w:val="20D562D7"/>
    <w:rsid w:val="20D957D0"/>
    <w:rsid w:val="20DA5281"/>
    <w:rsid w:val="20DB6325"/>
    <w:rsid w:val="20E35BDE"/>
    <w:rsid w:val="20E416D2"/>
    <w:rsid w:val="20E9348D"/>
    <w:rsid w:val="20EA2D01"/>
    <w:rsid w:val="20EB3474"/>
    <w:rsid w:val="20EF451E"/>
    <w:rsid w:val="20F667B9"/>
    <w:rsid w:val="20F90A4D"/>
    <w:rsid w:val="20FB7568"/>
    <w:rsid w:val="21065641"/>
    <w:rsid w:val="210D2CDA"/>
    <w:rsid w:val="210E68A2"/>
    <w:rsid w:val="211C7EF8"/>
    <w:rsid w:val="212F6A59"/>
    <w:rsid w:val="21306305"/>
    <w:rsid w:val="21330562"/>
    <w:rsid w:val="213D54AD"/>
    <w:rsid w:val="214169BB"/>
    <w:rsid w:val="2144141D"/>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CF18D7"/>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E39DE"/>
    <w:rsid w:val="224E74D0"/>
    <w:rsid w:val="225C1E49"/>
    <w:rsid w:val="22713317"/>
    <w:rsid w:val="227F5037"/>
    <w:rsid w:val="228041D7"/>
    <w:rsid w:val="228A008B"/>
    <w:rsid w:val="228D63FC"/>
    <w:rsid w:val="229945A4"/>
    <w:rsid w:val="229A7E25"/>
    <w:rsid w:val="22AA0362"/>
    <w:rsid w:val="22AA773F"/>
    <w:rsid w:val="22B059F5"/>
    <w:rsid w:val="22B06BDB"/>
    <w:rsid w:val="22B63FB8"/>
    <w:rsid w:val="22BA2D5C"/>
    <w:rsid w:val="22BC7DF2"/>
    <w:rsid w:val="22BD19A6"/>
    <w:rsid w:val="22BD504B"/>
    <w:rsid w:val="22D61781"/>
    <w:rsid w:val="22DE38AE"/>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D7F52"/>
    <w:rsid w:val="23415924"/>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D6F6C"/>
    <w:rsid w:val="23C02B53"/>
    <w:rsid w:val="23C62FD3"/>
    <w:rsid w:val="23C73122"/>
    <w:rsid w:val="23C80F4A"/>
    <w:rsid w:val="23CE5D21"/>
    <w:rsid w:val="23D160BB"/>
    <w:rsid w:val="23D33566"/>
    <w:rsid w:val="23D9762E"/>
    <w:rsid w:val="23DF2C6B"/>
    <w:rsid w:val="23E52298"/>
    <w:rsid w:val="23F06611"/>
    <w:rsid w:val="240E5D2B"/>
    <w:rsid w:val="24137B5B"/>
    <w:rsid w:val="24162107"/>
    <w:rsid w:val="24176341"/>
    <w:rsid w:val="24194B93"/>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D38BA"/>
    <w:rsid w:val="24C0685F"/>
    <w:rsid w:val="24CD6DBE"/>
    <w:rsid w:val="24D20A06"/>
    <w:rsid w:val="24D51CDF"/>
    <w:rsid w:val="24DD1D29"/>
    <w:rsid w:val="24E57853"/>
    <w:rsid w:val="24F17428"/>
    <w:rsid w:val="250253B9"/>
    <w:rsid w:val="250B031A"/>
    <w:rsid w:val="250C5C6A"/>
    <w:rsid w:val="25176627"/>
    <w:rsid w:val="2517737C"/>
    <w:rsid w:val="251E0656"/>
    <w:rsid w:val="252053F9"/>
    <w:rsid w:val="25304AD5"/>
    <w:rsid w:val="25395126"/>
    <w:rsid w:val="254520AA"/>
    <w:rsid w:val="25467DBB"/>
    <w:rsid w:val="25473E3C"/>
    <w:rsid w:val="254C4068"/>
    <w:rsid w:val="254E34FC"/>
    <w:rsid w:val="25515E07"/>
    <w:rsid w:val="25584ADE"/>
    <w:rsid w:val="2559706B"/>
    <w:rsid w:val="255E0BEA"/>
    <w:rsid w:val="256343AC"/>
    <w:rsid w:val="25673606"/>
    <w:rsid w:val="25771B32"/>
    <w:rsid w:val="257C1A72"/>
    <w:rsid w:val="257F18B5"/>
    <w:rsid w:val="25805FF5"/>
    <w:rsid w:val="258A3283"/>
    <w:rsid w:val="258E66DC"/>
    <w:rsid w:val="258F15BB"/>
    <w:rsid w:val="25912795"/>
    <w:rsid w:val="259231BD"/>
    <w:rsid w:val="25A77DD4"/>
    <w:rsid w:val="25AE0C1E"/>
    <w:rsid w:val="25BB6C64"/>
    <w:rsid w:val="25C34CFA"/>
    <w:rsid w:val="25C87522"/>
    <w:rsid w:val="25C97301"/>
    <w:rsid w:val="25CC4C1C"/>
    <w:rsid w:val="25CD7961"/>
    <w:rsid w:val="25D64403"/>
    <w:rsid w:val="25EB7CD4"/>
    <w:rsid w:val="25F04B7D"/>
    <w:rsid w:val="25F51596"/>
    <w:rsid w:val="25F67042"/>
    <w:rsid w:val="260A55DA"/>
    <w:rsid w:val="260B255C"/>
    <w:rsid w:val="2611495B"/>
    <w:rsid w:val="2618762A"/>
    <w:rsid w:val="26217848"/>
    <w:rsid w:val="262E20E8"/>
    <w:rsid w:val="262E34C1"/>
    <w:rsid w:val="26311E45"/>
    <w:rsid w:val="263E0775"/>
    <w:rsid w:val="2640682F"/>
    <w:rsid w:val="26472F6E"/>
    <w:rsid w:val="264F2FA3"/>
    <w:rsid w:val="26510DB8"/>
    <w:rsid w:val="26531A21"/>
    <w:rsid w:val="26626905"/>
    <w:rsid w:val="26667EB2"/>
    <w:rsid w:val="266B1FB8"/>
    <w:rsid w:val="26746063"/>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B4670"/>
    <w:rsid w:val="26CD53A8"/>
    <w:rsid w:val="26D323BB"/>
    <w:rsid w:val="26D45590"/>
    <w:rsid w:val="26F40E3F"/>
    <w:rsid w:val="26F40EBD"/>
    <w:rsid w:val="26F85687"/>
    <w:rsid w:val="26FA217E"/>
    <w:rsid w:val="26FA2DE3"/>
    <w:rsid w:val="26FF74CD"/>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A2ED3"/>
    <w:rsid w:val="27A23025"/>
    <w:rsid w:val="27A46397"/>
    <w:rsid w:val="27B02558"/>
    <w:rsid w:val="27B03EC1"/>
    <w:rsid w:val="27B91021"/>
    <w:rsid w:val="27C06D17"/>
    <w:rsid w:val="27C66099"/>
    <w:rsid w:val="27CA7CDA"/>
    <w:rsid w:val="27CE10FB"/>
    <w:rsid w:val="27FE4240"/>
    <w:rsid w:val="280008FF"/>
    <w:rsid w:val="28050D91"/>
    <w:rsid w:val="28076A4E"/>
    <w:rsid w:val="281035C6"/>
    <w:rsid w:val="28140E2A"/>
    <w:rsid w:val="28255041"/>
    <w:rsid w:val="283832F0"/>
    <w:rsid w:val="283A1E3E"/>
    <w:rsid w:val="284543A1"/>
    <w:rsid w:val="28553E1D"/>
    <w:rsid w:val="28693318"/>
    <w:rsid w:val="286B3B61"/>
    <w:rsid w:val="28765DD5"/>
    <w:rsid w:val="28821314"/>
    <w:rsid w:val="2891501A"/>
    <w:rsid w:val="28937E6D"/>
    <w:rsid w:val="28A66523"/>
    <w:rsid w:val="28AD2029"/>
    <w:rsid w:val="28AE4FA7"/>
    <w:rsid w:val="28B220F4"/>
    <w:rsid w:val="28C075A4"/>
    <w:rsid w:val="28CA1E93"/>
    <w:rsid w:val="28CE2A8C"/>
    <w:rsid w:val="28D139F1"/>
    <w:rsid w:val="28D5169B"/>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B20A7"/>
    <w:rsid w:val="297D1A8B"/>
    <w:rsid w:val="29981CF5"/>
    <w:rsid w:val="29A4634A"/>
    <w:rsid w:val="29A84DD1"/>
    <w:rsid w:val="29AA2390"/>
    <w:rsid w:val="29B85AFC"/>
    <w:rsid w:val="29BB1C36"/>
    <w:rsid w:val="29BB74AF"/>
    <w:rsid w:val="29BC2AA4"/>
    <w:rsid w:val="29CD2270"/>
    <w:rsid w:val="29D22D87"/>
    <w:rsid w:val="29DA58FD"/>
    <w:rsid w:val="29DB020F"/>
    <w:rsid w:val="29E64370"/>
    <w:rsid w:val="29E765AE"/>
    <w:rsid w:val="29EB2636"/>
    <w:rsid w:val="29ED4F50"/>
    <w:rsid w:val="29F26903"/>
    <w:rsid w:val="2A06427E"/>
    <w:rsid w:val="2A0F1A72"/>
    <w:rsid w:val="2A0F7591"/>
    <w:rsid w:val="2A13176E"/>
    <w:rsid w:val="2A216713"/>
    <w:rsid w:val="2A220953"/>
    <w:rsid w:val="2A222BC6"/>
    <w:rsid w:val="2A3B063B"/>
    <w:rsid w:val="2A49761F"/>
    <w:rsid w:val="2A4C74B8"/>
    <w:rsid w:val="2A4F49D1"/>
    <w:rsid w:val="2A500712"/>
    <w:rsid w:val="2A627A42"/>
    <w:rsid w:val="2A630308"/>
    <w:rsid w:val="2A676AD0"/>
    <w:rsid w:val="2A687AA6"/>
    <w:rsid w:val="2A6A2073"/>
    <w:rsid w:val="2A770CC7"/>
    <w:rsid w:val="2A7A022E"/>
    <w:rsid w:val="2A7C0C44"/>
    <w:rsid w:val="2A883C28"/>
    <w:rsid w:val="2A897187"/>
    <w:rsid w:val="2A8A27A6"/>
    <w:rsid w:val="2A8B1FCC"/>
    <w:rsid w:val="2A9303DF"/>
    <w:rsid w:val="2A9A66D4"/>
    <w:rsid w:val="2AA12DD3"/>
    <w:rsid w:val="2AAA29AB"/>
    <w:rsid w:val="2AAC36BD"/>
    <w:rsid w:val="2AB04937"/>
    <w:rsid w:val="2AB86677"/>
    <w:rsid w:val="2ABC2E55"/>
    <w:rsid w:val="2ABC7A4C"/>
    <w:rsid w:val="2AC90132"/>
    <w:rsid w:val="2ACF5AEC"/>
    <w:rsid w:val="2AD62AB0"/>
    <w:rsid w:val="2ADC1447"/>
    <w:rsid w:val="2ADE1583"/>
    <w:rsid w:val="2AE01169"/>
    <w:rsid w:val="2AE70523"/>
    <w:rsid w:val="2AF12CDF"/>
    <w:rsid w:val="2AF27DCB"/>
    <w:rsid w:val="2B0726A6"/>
    <w:rsid w:val="2B0C6B23"/>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B34AB"/>
    <w:rsid w:val="2B914C5E"/>
    <w:rsid w:val="2B9A6A87"/>
    <w:rsid w:val="2BA252E6"/>
    <w:rsid w:val="2BB44220"/>
    <w:rsid w:val="2BB61EA7"/>
    <w:rsid w:val="2BBA6EF5"/>
    <w:rsid w:val="2BC03979"/>
    <w:rsid w:val="2BC43B49"/>
    <w:rsid w:val="2BC941AF"/>
    <w:rsid w:val="2BDC02CD"/>
    <w:rsid w:val="2BE53934"/>
    <w:rsid w:val="2BE64A3E"/>
    <w:rsid w:val="2BEC4F7F"/>
    <w:rsid w:val="2BED66EA"/>
    <w:rsid w:val="2BF01DD3"/>
    <w:rsid w:val="2BF51B27"/>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8E29A0"/>
    <w:rsid w:val="2C9A28D3"/>
    <w:rsid w:val="2CBC4209"/>
    <w:rsid w:val="2CC12D54"/>
    <w:rsid w:val="2CC9742A"/>
    <w:rsid w:val="2CCB3003"/>
    <w:rsid w:val="2CDA4FDA"/>
    <w:rsid w:val="2CDC7091"/>
    <w:rsid w:val="2CE128DC"/>
    <w:rsid w:val="2CE16D71"/>
    <w:rsid w:val="2CF4201A"/>
    <w:rsid w:val="2CFD5C64"/>
    <w:rsid w:val="2D0128E8"/>
    <w:rsid w:val="2D0450C7"/>
    <w:rsid w:val="2D0C5A2F"/>
    <w:rsid w:val="2D0E231B"/>
    <w:rsid w:val="2D145154"/>
    <w:rsid w:val="2D1A1A6B"/>
    <w:rsid w:val="2D1A4915"/>
    <w:rsid w:val="2D306B85"/>
    <w:rsid w:val="2D323D75"/>
    <w:rsid w:val="2D400A9F"/>
    <w:rsid w:val="2D540857"/>
    <w:rsid w:val="2D590555"/>
    <w:rsid w:val="2D726428"/>
    <w:rsid w:val="2D7A06F1"/>
    <w:rsid w:val="2D8151A4"/>
    <w:rsid w:val="2DA02E9C"/>
    <w:rsid w:val="2DBB1852"/>
    <w:rsid w:val="2DBF0C3E"/>
    <w:rsid w:val="2DBF1601"/>
    <w:rsid w:val="2DBF4C3A"/>
    <w:rsid w:val="2DC45736"/>
    <w:rsid w:val="2DC464A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5608F9"/>
    <w:rsid w:val="2E59206F"/>
    <w:rsid w:val="2E6B29AA"/>
    <w:rsid w:val="2E6F4813"/>
    <w:rsid w:val="2E705752"/>
    <w:rsid w:val="2E75335C"/>
    <w:rsid w:val="2E7622E7"/>
    <w:rsid w:val="2E7A5E34"/>
    <w:rsid w:val="2E7B65BB"/>
    <w:rsid w:val="2E855C37"/>
    <w:rsid w:val="2E8863A8"/>
    <w:rsid w:val="2E8F09A4"/>
    <w:rsid w:val="2E993370"/>
    <w:rsid w:val="2E9A086A"/>
    <w:rsid w:val="2E9A5742"/>
    <w:rsid w:val="2EA049A8"/>
    <w:rsid w:val="2EA26ABE"/>
    <w:rsid w:val="2EA72F10"/>
    <w:rsid w:val="2EA74B75"/>
    <w:rsid w:val="2EAC4C49"/>
    <w:rsid w:val="2EAE0ED4"/>
    <w:rsid w:val="2EB61295"/>
    <w:rsid w:val="2EB72E9A"/>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5E1A24"/>
    <w:rsid w:val="2F615954"/>
    <w:rsid w:val="2F651820"/>
    <w:rsid w:val="2F712CF7"/>
    <w:rsid w:val="2F805714"/>
    <w:rsid w:val="2F8640C4"/>
    <w:rsid w:val="2F8E5F5C"/>
    <w:rsid w:val="2F902161"/>
    <w:rsid w:val="2F921FAC"/>
    <w:rsid w:val="2FA21231"/>
    <w:rsid w:val="2FAD4759"/>
    <w:rsid w:val="2FAD5866"/>
    <w:rsid w:val="2FC31E03"/>
    <w:rsid w:val="2FCA0967"/>
    <w:rsid w:val="2FD84674"/>
    <w:rsid w:val="2FDB17E1"/>
    <w:rsid w:val="2FDB670F"/>
    <w:rsid w:val="2FE20568"/>
    <w:rsid w:val="2FE37171"/>
    <w:rsid w:val="2FF117AD"/>
    <w:rsid w:val="2FF17999"/>
    <w:rsid w:val="2FF40BAE"/>
    <w:rsid w:val="2FF95633"/>
    <w:rsid w:val="30010F70"/>
    <w:rsid w:val="300F7F13"/>
    <w:rsid w:val="30151A88"/>
    <w:rsid w:val="301E3C00"/>
    <w:rsid w:val="302757BF"/>
    <w:rsid w:val="302A5FCA"/>
    <w:rsid w:val="302E1CAD"/>
    <w:rsid w:val="303F616B"/>
    <w:rsid w:val="3045713F"/>
    <w:rsid w:val="30486EA7"/>
    <w:rsid w:val="30500A5C"/>
    <w:rsid w:val="30752E77"/>
    <w:rsid w:val="308018A6"/>
    <w:rsid w:val="30804E19"/>
    <w:rsid w:val="3090288F"/>
    <w:rsid w:val="309B0CFB"/>
    <w:rsid w:val="309B2EEC"/>
    <w:rsid w:val="309E4272"/>
    <w:rsid w:val="30AE56DC"/>
    <w:rsid w:val="30B7307E"/>
    <w:rsid w:val="30C21A0E"/>
    <w:rsid w:val="30C26D2D"/>
    <w:rsid w:val="30DC45E8"/>
    <w:rsid w:val="30DD6027"/>
    <w:rsid w:val="30DE16AB"/>
    <w:rsid w:val="30E1221A"/>
    <w:rsid w:val="30E734EF"/>
    <w:rsid w:val="30F24AB3"/>
    <w:rsid w:val="30F44A95"/>
    <w:rsid w:val="30F77A98"/>
    <w:rsid w:val="30FA21D8"/>
    <w:rsid w:val="30FC2A23"/>
    <w:rsid w:val="31197ABC"/>
    <w:rsid w:val="311D5B14"/>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712ADE"/>
    <w:rsid w:val="3171328C"/>
    <w:rsid w:val="317477EC"/>
    <w:rsid w:val="317A322A"/>
    <w:rsid w:val="318149B0"/>
    <w:rsid w:val="31822EAF"/>
    <w:rsid w:val="31840D12"/>
    <w:rsid w:val="31846FF6"/>
    <w:rsid w:val="318727D3"/>
    <w:rsid w:val="31881ED7"/>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1E250B"/>
    <w:rsid w:val="32226597"/>
    <w:rsid w:val="322A5516"/>
    <w:rsid w:val="322C6DC4"/>
    <w:rsid w:val="3238698E"/>
    <w:rsid w:val="324968A9"/>
    <w:rsid w:val="324F1DD8"/>
    <w:rsid w:val="32544043"/>
    <w:rsid w:val="3259293C"/>
    <w:rsid w:val="325E5514"/>
    <w:rsid w:val="325F1FF4"/>
    <w:rsid w:val="32666821"/>
    <w:rsid w:val="326718A4"/>
    <w:rsid w:val="32694229"/>
    <w:rsid w:val="326A18B1"/>
    <w:rsid w:val="326B7BBB"/>
    <w:rsid w:val="326C27B2"/>
    <w:rsid w:val="3272101B"/>
    <w:rsid w:val="327A3DD6"/>
    <w:rsid w:val="327E6AD8"/>
    <w:rsid w:val="32946A84"/>
    <w:rsid w:val="32A47550"/>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168AD"/>
    <w:rsid w:val="333A0536"/>
    <w:rsid w:val="333E0FE1"/>
    <w:rsid w:val="334D7767"/>
    <w:rsid w:val="33610DDA"/>
    <w:rsid w:val="3362171F"/>
    <w:rsid w:val="3366319E"/>
    <w:rsid w:val="336C2B69"/>
    <w:rsid w:val="33767D1F"/>
    <w:rsid w:val="337F446B"/>
    <w:rsid w:val="338E29B0"/>
    <w:rsid w:val="33924A39"/>
    <w:rsid w:val="339902E6"/>
    <w:rsid w:val="339D35FC"/>
    <w:rsid w:val="33A156DE"/>
    <w:rsid w:val="33AB7E09"/>
    <w:rsid w:val="33B52233"/>
    <w:rsid w:val="33B70359"/>
    <w:rsid w:val="33BA1B32"/>
    <w:rsid w:val="33CB205A"/>
    <w:rsid w:val="33D451B9"/>
    <w:rsid w:val="33E20DF0"/>
    <w:rsid w:val="33E570DD"/>
    <w:rsid w:val="33EE5E44"/>
    <w:rsid w:val="33F81D16"/>
    <w:rsid w:val="33FE4E44"/>
    <w:rsid w:val="34004C51"/>
    <w:rsid w:val="34023557"/>
    <w:rsid w:val="34087429"/>
    <w:rsid w:val="340B5F03"/>
    <w:rsid w:val="3411600B"/>
    <w:rsid w:val="341315B5"/>
    <w:rsid w:val="34147AA7"/>
    <w:rsid w:val="341808C3"/>
    <w:rsid w:val="34182B66"/>
    <w:rsid w:val="34260D3D"/>
    <w:rsid w:val="342D3CE2"/>
    <w:rsid w:val="34343D6C"/>
    <w:rsid w:val="34347DC5"/>
    <w:rsid w:val="34380493"/>
    <w:rsid w:val="34463967"/>
    <w:rsid w:val="344C08D2"/>
    <w:rsid w:val="345543D1"/>
    <w:rsid w:val="345A7367"/>
    <w:rsid w:val="345D2CD0"/>
    <w:rsid w:val="346C0AEA"/>
    <w:rsid w:val="3473748E"/>
    <w:rsid w:val="347F540F"/>
    <w:rsid w:val="34863322"/>
    <w:rsid w:val="34885DB3"/>
    <w:rsid w:val="348F7A0E"/>
    <w:rsid w:val="349A0B7D"/>
    <w:rsid w:val="349E4CAE"/>
    <w:rsid w:val="34A851E8"/>
    <w:rsid w:val="34B51A96"/>
    <w:rsid w:val="34C800BD"/>
    <w:rsid w:val="34CC1DC7"/>
    <w:rsid w:val="34D47C8A"/>
    <w:rsid w:val="34D874E5"/>
    <w:rsid w:val="34DB0CAC"/>
    <w:rsid w:val="34DD3DF9"/>
    <w:rsid w:val="34E972FC"/>
    <w:rsid w:val="34EE3093"/>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87024"/>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6F246B"/>
    <w:rsid w:val="36752210"/>
    <w:rsid w:val="36820E97"/>
    <w:rsid w:val="36884498"/>
    <w:rsid w:val="36922B55"/>
    <w:rsid w:val="36991125"/>
    <w:rsid w:val="36A312B2"/>
    <w:rsid w:val="36A3261A"/>
    <w:rsid w:val="36A9265A"/>
    <w:rsid w:val="36B121C7"/>
    <w:rsid w:val="36B2486C"/>
    <w:rsid w:val="36BA14F4"/>
    <w:rsid w:val="36D009E5"/>
    <w:rsid w:val="36D27C18"/>
    <w:rsid w:val="36D512A9"/>
    <w:rsid w:val="36D934D3"/>
    <w:rsid w:val="36D94280"/>
    <w:rsid w:val="36DE2053"/>
    <w:rsid w:val="36E07ED3"/>
    <w:rsid w:val="36F414F3"/>
    <w:rsid w:val="37002C93"/>
    <w:rsid w:val="370974B4"/>
    <w:rsid w:val="370C44F9"/>
    <w:rsid w:val="37130F94"/>
    <w:rsid w:val="371A5A8E"/>
    <w:rsid w:val="371B03AE"/>
    <w:rsid w:val="371E6151"/>
    <w:rsid w:val="37277663"/>
    <w:rsid w:val="372A07F2"/>
    <w:rsid w:val="37357964"/>
    <w:rsid w:val="373D6F58"/>
    <w:rsid w:val="37446333"/>
    <w:rsid w:val="37446A77"/>
    <w:rsid w:val="374D0B20"/>
    <w:rsid w:val="37557969"/>
    <w:rsid w:val="375D4473"/>
    <w:rsid w:val="37615F3C"/>
    <w:rsid w:val="37636899"/>
    <w:rsid w:val="376B106B"/>
    <w:rsid w:val="377963D6"/>
    <w:rsid w:val="37840F0B"/>
    <w:rsid w:val="378772DD"/>
    <w:rsid w:val="378A731A"/>
    <w:rsid w:val="378C08C3"/>
    <w:rsid w:val="378E3617"/>
    <w:rsid w:val="37931A90"/>
    <w:rsid w:val="37A4082B"/>
    <w:rsid w:val="37A4627C"/>
    <w:rsid w:val="37A530D5"/>
    <w:rsid w:val="37A643C8"/>
    <w:rsid w:val="37AE534B"/>
    <w:rsid w:val="37B1214B"/>
    <w:rsid w:val="37B5292C"/>
    <w:rsid w:val="37BA6351"/>
    <w:rsid w:val="37C671B4"/>
    <w:rsid w:val="37C93B72"/>
    <w:rsid w:val="37D644F2"/>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93A96"/>
    <w:rsid w:val="386A1921"/>
    <w:rsid w:val="386B38FB"/>
    <w:rsid w:val="386D4577"/>
    <w:rsid w:val="38744311"/>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C3DAD"/>
    <w:rsid w:val="39065A02"/>
    <w:rsid w:val="39105718"/>
    <w:rsid w:val="392B6A4C"/>
    <w:rsid w:val="392D3B22"/>
    <w:rsid w:val="393544DD"/>
    <w:rsid w:val="393962EC"/>
    <w:rsid w:val="393F6CD7"/>
    <w:rsid w:val="39457868"/>
    <w:rsid w:val="394935B8"/>
    <w:rsid w:val="394C557A"/>
    <w:rsid w:val="3952190F"/>
    <w:rsid w:val="39573644"/>
    <w:rsid w:val="395753F2"/>
    <w:rsid w:val="395811AF"/>
    <w:rsid w:val="39676A41"/>
    <w:rsid w:val="39686D44"/>
    <w:rsid w:val="39695DEF"/>
    <w:rsid w:val="397E700C"/>
    <w:rsid w:val="39834074"/>
    <w:rsid w:val="39885108"/>
    <w:rsid w:val="39907940"/>
    <w:rsid w:val="399602F5"/>
    <w:rsid w:val="399818E3"/>
    <w:rsid w:val="399B5B0D"/>
    <w:rsid w:val="39A05979"/>
    <w:rsid w:val="39BB78F7"/>
    <w:rsid w:val="39BC428E"/>
    <w:rsid w:val="39C46549"/>
    <w:rsid w:val="39CA1A60"/>
    <w:rsid w:val="39D3749A"/>
    <w:rsid w:val="39D5434E"/>
    <w:rsid w:val="39DA738E"/>
    <w:rsid w:val="39DC3D4A"/>
    <w:rsid w:val="39DD49C2"/>
    <w:rsid w:val="39DD4ACE"/>
    <w:rsid w:val="39DF10D3"/>
    <w:rsid w:val="39E02BA8"/>
    <w:rsid w:val="39E70CEA"/>
    <w:rsid w:val="39E9070B"/>
    <w:rsid w:val="39EC7454"/>
    <w:rsid w:val="39ED7ACB"/>
    <w:rsid w:val="39FD2FB3"/>
    <w:rsid w:val="3A026596"/>
    <w:rsid w:val="3A082ABE"/>
    <w:rsid w:val="3A0E766B"/>
    <w:rsid w:val="3A181AC2"/>
    <w:rsid w:val="3A1A155D"/>
    <w:rsid w:val="3A237175"/>
    <w:rsid w:val="3A443D4B"/>
    <w:rsid w:val="3A4D1B24"/>
    <w:rsid w:val="3A616CAD"/>
    <w:rsid w:val="3A711C68"/>
    <w:rsid w:val="3A7927E8"/>
    <w:rsid w:val="3A796E46"/>
    <w:rsid w:val="3A843B0B"/>
    <w:rsid w:val="3A8B3C77"/>
    <w:rsid w:val="3A971F5B"/>
    <w:rsid w:val="3A9A224E"/>
    <w:rsid w:val="3A9C1F8C"/>
    <w:rsid w:val="3A9D2551"/>
    <w:rsid w:val="3AA15A8E"/>
    <w:rsid w:val="3AA90278"/>
    <w:rsid w:val="3AA97F70"/>
    <w:rsid w:val="3AAC45FD"/>
    <w:rsid w:val="3AB26A14"/>
    <w:rsid w:val="3AB94248"/>
    <w:rsid w:val="3ABE76C3"/>
    <w:rsid w:val="3ABF42F5"/>
    <w:rsid w:val="3ACE7D16"/>
    <w:rsid w:val="3AD0656F"/>
    <w:rsid w:val="3AD73D23"/>
    <w:rsid w:val="3ADB7564"/>
    <w:rsid w:val="3AF932C9"/>
    <w:rsid w:val="3AFD37D0"/>
    <w:rsid w:val="3B016EE9"/>
    <w:rsid w:val="3B075C4E"/>
    <w:rsid w:val="3B0C7A7D"/>
    <w:rsid w:val="3B0D67FF"/>
    <w:rsid w:val="3B0E6B93"/>
    <w:rsid w:val="3B130528"/>
    <w:rsid w:val="3B1703B9"/>
    <w:rsid w:val="3B1B0093"/>
    <w:rsid w:val="3B2356A8"/>
    <w:rsid w:val="3B246880"/>
    <w:rsid w:val="3B2D161A"/>
    <w:rsid w:val="3B3A132E"/>
    <w:rsid w:val="3B456D7F"/>
    <w:rsid w:val="3B4C2411"/>
    <w:rsid w:val="3B5077B4"/>
    <w:rsid w:val="3B5E261D"/>
    <w:rsid w:val="3B5F14B4"/>
    <w:rsid w:val="3B616FBE"/>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D039A1"/>
    <w:rsid w:val="3BDE5F43"/>
    <w:rsid w:val="3BE745F7"/>
    <w:rsid w:val="3BF10AAD"/>
    <w:rsid w:val="3BFA10FC"/>
    <w:rsid w:val="3C032713"/>
    <w:rsid w:val="3C042946"/>
    <w:rsid w:val="3C070D59"/>
    <w:rsid w:val="3C074961"/>
    <w:rsid w:val="3C0E09BE"/>
    <w:rsid w:val="3C0F1954"/>
    <w:rsid w:val="3C1071B6"/>
    <w:rsid w:val="3C1A4D6A"/>
    <w:rsid w:val="3C1E391D"/>
    <w:rsid w:val="3C21000D"/>
    <w:rsid w:val="3C237821"/>
    <w:rsid w:val="3C294498"/>
    <w:rsid w:val="3C2D5003"/>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832B00"/>
    <w:rsid w:val="3D8522AA"/>
    <w:rsid w:val="3D8A0C19"/>
    <w:rsid w:val="3D9816B4"/>
    <w:rsid w:val="3D990197"/>
    <w:rsid w:val="3D9A0655"/>
    <w:rsid w:val="3DA22306"/>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77BD7"/>
    <w:rsid w:val="3E3C5F3C"/>
    <w:rsid w:val="3E3E306A"/>
    <w:rsid w:val="3E454B0D"/>
    <w:rsid w:val="3E463CA5"/>
    <w:rsid w:val="3E4B2DC3"/>
    <w:rsid w:val="3E583BB7"/>
    <w:rsid w:val="3E5A1D01"/>
    <w:rsid w:val="3E5B12DC"/>
    <w:rsid w:val="3E5E048B"/>
    <w:rsid w:val="3E623E46"/>
    <w:rsid w:val="3E63159D"/>
    <w:rsid w:val="3E680BF1"/>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72F1"/>
    <w:rsid w:val="3F0F6C45"/>
    <w:rsid w:val="3F144192"/>
    <w:rsid w:val="3F1871AF"/>
    <w:rsid w:val="3F217DDA"/>
    <w:rsid w:val="3F2B184D"/>
    <w:rsid w:val="3F2C7646"/>
    <w:rsid w:val="3F3806AD"/>
    <w:rsid w:val="3F421D47"/>
    <w:rsid w:val="3F441B08"/>
    <w:rsid w:val="3F4A4087"/>
    <w:rsid w:val="3F5361F5"/>
    <w:rsid w:val="3F632831"/>
    <w:rsid w:val="3F6B3632"/>
    <w:rsid w:val="3F776E0A"/>
    <w:rsid w:val="3F952814"/>
    <w:rsid w:val="3F9C0821"/>
    <w:rsid w:val="3FA41C63"/>
    <w:rsid w:val="3FAB100B"/>
    <w:rsid w:val="3FAB3D87"/>
    <w:rsid w:val="3FAB41A2"/>
    <w:rsid w:val="3FAE47F6"/>
    <w:rsid w:val="3FB03D8B"/>
    <w:rsid w:val="3FB77F5A"/>
    <w:rsid w:val="3FD53CFE"/>
    <w:rsid w:val="3FD9316A"/>
    <w:rsid w:val="3FDF5DD0"/>
    <w:rsid w:val="3FE210C1"/>
    <w:rsid w:val="3FEB1C22"/>
    <w:rsid w:val="3FEE2117"/>
    <w:rsid w:val="3FF92686"/>
    <w:rsid w:val="3FFA58A6"/>
    <w:rsid w:val="3FFA5C63"/>
    <w:rsid w:val="3FFC6A8E"/>
    <w:rsid w:val="40073561"/>
    <w:rsid w:val="400A1CFC"/>
    <w:rsid w:val="401D6DEE"/>
    <w:rsid w:val="40372C35"/>
    <w:rsid w:val="403870E4"/>
    <w:rsid w:val="403D7C5C"/>
    <w:rsid w:val="40400533"/>
    <w:rsid w:val="4049754C"/>
    <w:rsid w:val="404B2521"/>
    <w:rsid w:val="404F7DEB"/>
    <w:rsid w:val="40572DA6"/>
    <w:rsid w:val="405A424E"/>
    <w:rsid w:val="406D461C"/>
    <w:rsid w:val="406F7D87"/>
    <w:rsid w:val="40825FDB"/>
    <w:rsid w:val="40836EAD"/>
    <w:rsid w:val="40907287"/>
    <w:rsid w:val="409238F2"/>
    <w:rsid w:val="40953EC0"/>
    <w:rsid w:val="40AB3054"/>
    <w:rsid w:val="40AF2B72"/>
    <w:rsid w:val="40BD153A"/>
    <w:rsid w:val="40C3250A"/>
    <w:rsid w:val="40CD7BD8"/>
    <w:rsid w:val="40CE24AF"/>
    <w:rsid w:val="40D07371"/>
    <w:rsid w:val="40D72999"/>
    <w:rsid w:val="40DF3ABC"/>
    <w:rsid w:val="40E554BF"/>
    <w:rsid w:val="40E75AF0"/>
    <w:rsid w:val="40E87142"/>
    <w:rsid w:val="40F00A85"/>
    <w:rsid w:val="40F1013C"/>
    <w:rsid w:val="40F35427"/>
    <w:rsid w:val="40FE1447"/>
    <w:rsid w:val="41031BCB"/>
    <w:rsid w:val="410527C1"/>
    <w:rsid w:val="41053DED"/>
    <w:rsid w:val="41055309"/>
    <w:rsid w:val="412506DF"/>
    <w:rsid w:val="4137709E"/>
    <w:rsid w:val="413B1BAB"/>
    <w:rsid w:val="41404CAD"/>
    <w:rsid w:val="41411805"/>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9E74D2"/>
    <w:rsid w:val="41A63744"/>
    <w:rsid w:val="41A747DE"/>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AD58FC"/>
    <w:rsid w:val="42B63D6B"/>
    <w:rsid w:val="42C5796D"/>
    <w:rsid w:val="42D67001"/>
    <w:rsid w:val="42E06A10"/>
    <w:rsid w:val="42F7551B"/>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8B6310"/>
    <w:rsid w:val="439322F0"/>
    <w:rsid w:val="43964600"/>
    <w:rsid w:val="4397231A"/>
    <w:rsid w:val="439C3431"/>
    <w:rsid w:val="439D0E7C"/>
    <w:rsid w:val="43A26A83"/>
    <w:rsid w:val="43A41643"/>
    <w:rsid w:val="43B516E4"/>
    <w:rsid w:val="43C0281C"/>
    <w:rsid w:val="43C02B26"/>
    <w:rsid w:val="43D10A40"/>
    <w:rsid w:val="43D67A91"/>
    <w:rsid w:val="43E21F58"/>
    <w:rsid w:val="43E35EF0"/>
    <w:rsid w:val="43F76F69"/>
    <w:rsid w:val="43F90FED"/>
    <w:rsid w:val="43FC0DB2"/>
    <w:rsid w:val="44091148"/>
    <w:rsid w:val="44095B4D"/>
    <w:rsid w:val="440C5D56"/>
    <w:rsid w:val="44153F0C"/>
    <w:rsid w:val="44174583"/>
    <w:rsid w:val="441A5200"/>
    <w:rsid w:val="4425456D"/>
    <w:rsid w:val="44336EAB"/>
    <w:rsid w:val="44393BD3"/>
    <w:rsid w:val="444109FB"/>
    <w:rsid w:val="444234C8"/>
    <w:rsid w:val="444E22EA"/>
    <w:rsid w:val="44584267"/>
    <w:rsid w:val="44705173"/>
    <w:rsid w:val="44740841"/>
    <w:rsid w:val="4476407C"/>
    <w:rsid w:val="447B4A66"/>
    <w:rsid w:val="447D4136"/>
    <w:rsid w:val="448B5845"/>
    <w:rsid w:val="448C73DD"/>
    <w:rsid w:val="44907237"/>
    <w:rsid w:val="449510AA"/>
    <w:rsid w:val="449D7968"/>
    <w:rsid w:val="44AA6690"/>
    <w:rsid w:val="44AC77AC"/>
    <w:rsid w:val="44B4690B"/>
    <w:rsid w:val="44B53006"/>
    <w:rsid w:val="44BA1648"/>
    <w:rsid w:val="44BB150F"/>
    <w:rsid w:val="44BE4FA9"/>
    <w:rsid w:val="44C43057"/>
    <w:rsid w:val="44C87C0F"/>
    <w:rsid w:val="44D31B1E"/>
    <w:rsid w:val="44DF6F1B"/>
    <w:rsid w:val="44E54BDC"/>
    <w:rsid w:val="44E92DF3"/>
    <w:rsid w:val="44F82D0E"/>
    <w:rsid w:val="451C5E9C"/>
    <w:rsid w:val="452C5F0A"/>
    <w:rsid w:val="453579B0"/>
    <w:rsid w:val="45385EDA"/>
    <w:rsid w:val="453F48AB"/>
    <w:rsid w:val="454036A6"/>
    <w:rsid w:val="45446179"/>
    <w:rsid w:val="454E0AAC"/>
    <w:rsid w:val="454E4F75"/>
    <w:rsid w:val="454E6B7A"/>
    <w:rsid w:val="4551463D"/>
    <w:rsid w:val="45520426"/>
    <w:rsid w:val="45522E35"/>
    <w:rsid w:val="455A7708"/>
    <w:rsid w:val="456C4CA4"/>
    <w:rsid w:val="457736FF"/>
    <w:rsid w:val="45790DCE"/>
    <w:rsid w:val="457C3E54"/>
    <w:rsid w:val="457E31A2"/>
    <w:rsid w:val="458B757C"/>
    <w:rsid w:val="458D679F"/>
    <w:rsid w:val="459026D9"/>
    <w:rsid w:val="45917B8A"/>
    <w:rsid w:val="459B634C"/>
    <w:rsid w:val="459F2381"/>
    <w:rsid w:val="45A35B1E"/>
    <w:rsid w:val="45A74FA6"/>
    <w:rsid w:val="45AC1CCA"/>
    <w:rsid w:val="45B14ED7"/>
    <w:rsid w:val="45B315CE"/>
    <w:rsid w:val="45B64B84"/>
    <w:rsid w:val="45E37678"/>
    <w:rsid w:val="45E526A6"/>
    <w:rsid w:val="45E56E31"/>
    <w:rsid w:val="45E66893"/>
    <w:rsid w:val="45E826B2"/>
    <w:rsid w:val="45F4334C"/>
    <w:rsid w:val="460D3781"/>
    <w:rsid w:val="461808AB"/>
    <w:rsid w:val="46365246"/>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03D3F"/>
    <w:rsid w:val="46A35C12"/>
    <w:rsid w:val="46A55B0E"/>
    <w:rsid w:val="46A82992"/>
    <w:rsid w:val="46AD7A54"/>
    <w:rsid w:val="46B134DD"/>
    <w:rsid w:val="46B419BE"/>
    <w:rsid w:val="46B640D3"/>
    <w:rsid w:val="46CD1F17"/>
    <w:rsid w:val="46CF37CF"/>
    <w:rsid w:val="46D126E3"/>
    <w:rsid w:val="46D67289"/>
    <w:rsid w:val="46DB64CD"/>
    <w:rsid w:val="46DD1D17"/>
    <w:rsid w:val="46E1018C"/>
    <w:rsid w:val="46E53AB0"/>
    <w:rsid w:val="46F37479"/>
    <w:rsid w:val="46FB7F07"/>
    <w:rsid w:val="46FC2FE8"/>
    <w:rsid w:val="47033281"/>
    <w:rsid w:val="47065799"/>
    <w:rsid w:val="47073BE8"/>
    <w:rsid w:val="470872CF"/>
    <w:rsid w:val="470D53CA"/>
    <w:rsid w:val="471563E1"/>
    <w:rsid w:val="47167C67"/>
    <w:rsid w:val="47206857"/>
    <w:rsid w:val="47333B1B"/>
    <w:rsid w:val="47351654"/>
    <w:rsid w:val="473806C2"/>
    <w:rsid w:val="473A212B"/>
    <w:rsid w:val="473D0BD8"/>
    <w:rsid w:val="47457188"/>
    <w:rsid w:val="476407BD"/>
    <w:rsid w:val="47644CFB"/>
    <w:rsid w:val="47666951"/>
    <w:rsid w:val="47683159"/>
    <w:rsid w:val="476A7D07"/>
    <w:rsid w:val="47916F96"/>
    <w:rsid w:val="479766B4"/>
    <w:rsid w:val="479A472B"/>
    <w:rsid w:val="479D7800"/>
    <w:rsid w:val="47A240A4"/>
    <w:rsid w:val="47AA1593"/>
    <w:rsid w:val="47B44BED"/>
    <w:rsid w:val="47BC3466"/>
    <w:rsid w:val="47D730B6"/>
    <w:rsid w:val="47DD6A91"/>
    <w:rsid w:val="47E62C82"/>
    <w:rsid w:val="47EB0853"/>
    <w:rsid w:val="47EB5BFA"/>
    <w:rsid w:val="47FA20F9"/>
    <w:rsid w:val="47FA66CF"/>
    <w:rsid w:val="47FF3A74"/>
    <w:rsid w:val="480B7A59"/>
    <w:rsid w:val="48111DC2"/>
    <w:rsid w:val="48156BFB"/>
    <w:rsid w:val="48223D39"/>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73E6B"/>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CD5972"/>
    <w:rsid w:val="48D40F85"/>
    <w:rsid w:val="48DC218B"/>
    <w:rsid w:val="48EA04DD"/>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80E3A"/>
    <w:rsid w:val="495B528B"/>
    <w:rsid w:val="495C3370"/>
    <w:rsid w:val="496409A2"/>
    <w:rsid w:val="496926EA"/>
    <w:rsid w:val="49707759"/>
    <w:rsid w:val="49715E0F"/>
    <w:rsid w:val="497C3BF7"/>
    <w:rsid w:val="497F5591"/>
    <w:rsid w:val="49822E2F"/>
    <w:rsid w:val="498F38E6"/>
    <w:rsid w:val="49927DFC"/>
    <w:rsid w:val="499322C4"/>
    <w:rsid w:val="4995554E"/>
    <w:rsid w:val="499B3646"/>
    <w:rsid w:val="499C3504"/>
    <w:rsid w:val="499C3A4F"/>
    <w:rsid w:val="49A43EE6"/>
    <w:rsid w:val="49AB3DB8"/>
    <w:rsid w:val="49B4201A"/>
    <w:rsid w:val="49BA6924"/>
    <w:rsid w:val="49C20C6C"/>
    <w:rsid w:val="49CE0C89"/>
    <w:rsid w:val="49D93C20"/>
    <w:rsid w:val="49DA3FD3"/>
    <w:rsid w:val="49DA7AB7"/>
    <w:rsid w:val="49DD3956"/>
    <w:rsid w:val="49E028D9"/>
    <w:rsid w:val="49E46DD1"/>
    <w:rsid w:val="49ED323D"/>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A456B8"/>
    <w:rsid w:val="4AA616A0"/>
    <w:rsid w:val="4AA75186"/>
    <w:rsid w:val="4AAF1B3A"/>
    <w:rsid w:val="4AB113DF"/>
    <w:rsid w:val="4ABB3CDE"/>
    <w:rsid w:val="4AC4256B"/>
    <w:rsid w:val="4AC860DD"/>
    <w:rsid w:val="4AD162A8"/>
    <w:rsid w:val="4AD25C89"/>
    <w:rsid w:val="4AD768C6"/>
    <w:rsid w:val="4AE0796F"/>
    <w:rsid w:val="4AE30444"/>
    <w:rsid w:val="4AF902F5"/>
    <w:rsid w:val="4AF94D42"/>
    <w:rsid w:val="4B0107DC"/>
    <w:rsid w:val="4B205D7D"/>
    <w:rsid w:val="4B28587C"/>
    <w:rsid w:val="4B292683"/>
    <w:rsid w:val="4B294C7C"/>
    <w:rsid w:val="4B376E2E"/>
    <w:rsid w:val="4B385AE2"/>
    <w:rsid w:val="4B3D5656"/>
    <w:rsid w:val="4B3F4861"/>
    <w:rsid w:val="4B4C459F"/>
    <w:rsid w:val="4B50566A"/>
    <w:rsid w:val="4B53122B"/>
    <w:rsid w:val="4B571002"/>
    <w:rsid w:val="4B576984"/>
    <w:rsid w:val="4B5912E9"/>
    <w:rsid w:val="4B5D1824"/>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CB1BAE"/>
    <w:rsid w:val="4BD94F2A"/>
    <w:rsid w:val="4BDF4B49"/>
    <w:rsid w:val="4BE57E16"/>
    <w:rsid w:val="4BE6191D"/>
    <w:rsid w:val="4BE819D0"/>
    <w:rsid w:val="4BE8649D"/>
    <w:rsid w:val="4C0236B4"/>
    <w:rsid w:val="4C0C091F"/>
    <w:rsid w:val="4C0F21EC"/>
    <w:rsid w:val="4C11675B"/>
    <w:rsid w:val="4C170C9D"/>
    <w:rsid w:val="4C192F75"/>
    <w:rsid w:val="4C1C0BD6"/>
    <w:rsid w:val="4C1E085C"/>
    <w:rsid w:val="4C1E7AAC"/>
    <w:rsid w:val="4C20259F"/>
    <w:rsid w:val="4C253641"/>
    <w:rsid w:val="4C30621F"/>
    <w:rsid w:val="4C312ECF"/>
    <w:rsid w:val="4C422CA7"/>
    <w:rsid w:val="4C427C5C"/>
    <w:rsid w:val="4C5035A1"/>
    <w:rsid w:val="4C5F0B5D"/>
    <w:rsid w:val="4C606F33"/>
    <w:rsid w:val="4C6426ED"/>
    <w:rsid w:val="4C64471A"/>
    <w:rsid w:val="4C6C2FE2"/>
    <w:rsid w:val="4C6D5BD4"/>
    <w:rsid w:val="4C6E53A2"/>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A2874"/>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3448A"/>
    <w:rsid w:val="4D3F4840"/>
    <w:rsid w:val="4D410392"/>
    <w:rsid w:val="4D422D07"/>
    <w:rsid w:val="4D427BBD"/>
    <w:rsid w:val="4D570519"/>
    <w:rsid w:val="4D5A2B9C"/>
    <w:rsid w:val="4D5C5732"/>
    <w:rsid w:val="4D656800"/>
    <w:rsid w:val="4D6C4B60"/>
    <w:rsid w:val="4D705706"/>
    <w:rsid w:val="4D7220A0"/>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472F23"/>
    <w:rsid w:val="4E4C1194"/>
    <w:rsid w:val="4E587463"/>
    <w:rsid w:val="4E5A3449"/>
    <w:rsid w:val="4E68543B"/>
    <w:rsid w:val="4E6906EE"/>
    <w:rsid w:val="4E694E99"/>
    <w:rsid w:val="4E6D1740"/>
    <w:rsid w:val="4E7125DA"/>
    <w:rsid w:val="4E795FE9"/>
    <w:rsid w:val="4E797F06"/>
    <w:rsid w:val="4E8D3751"/>
    <w:rsid w:val="4E904370"/>
    <w:rsid w:val="4E937763"/>
    <w:rsid w:val="4E991182"/>
    <w:rsid w:val="4E9E5BA9"/>
    <w:rsid w:val="4E9F5613"/>
    <w:rsid w:val="4EA9172F"/>
    <w:rsid w:val="4EAC241A"/>
    <w:rsid w:val="4EB67945"/>
    <w:rsid w:val="4ECA2CB3"/>
    <w:rsid w:val="4ED32EBD"/>
    <w:rsid w:val="4EE61722"/>
    <w:rsid w:val="4EE62F61"/>
    <w:rsid w:val="4EE86D63"/>
    <w:rsid w:val="4EEC3838"/>
    <w:rsid w:val="4EEE11A3"/>
    <w:rsid w:val="4EF07E6E"/>
    <w:rsid w:val="4EFE4EC2"/>
    <w:rsid w:val="4EFF3444"/>
    <w:rsid w:val="4F037BFA"/>
    <w:rsid w:val="4F0441E5"/>
    <w:rsid w:val="4F045EC0"/>
    <w:rsid w:val="4F1304E7"/>
    <w:rsid w:val="4F155F27"/>
    <w:rsid w:val="4F181305"/>
    <w:rsid w:val="4F1A238F"/>
    <w:rsid w:val="4F2C365D"/>
    <w:rsid w:val="4F376D93"/>
    <w:rsid w:val="4F3D4163"/>
    <w:rsid w:val="4F50208E"/>
    <w:rsid w:val="4F6E6F86"/>
    <w:rsid w:val="4F7278C6"/>
    <w:rsid w:val="4F764CC2"/>
    <w:rsid w:val="4F770C30"/>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E55FF2"/>
    <w:rsid w:val="4FF5506D"/>
    <w:rsid w:val="4FFE1157"/>
    <w:rsid w:val="4FFF3806"/>
    <w:rsid w:val="4FFF49BB"/>
    <w:rsid w:val="5004344D"/>
    <w:rsid w:val="50046739"/>
    <w:rsid w:val="50095827"/>
    <w:rsid w:val="50100572"/>
    <w:rsid w:val="5014542B"/>
    <w:rsid w:val="50186BF6"/>
    <w:rsid w:val="50271862"/>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272DB"/>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15B49"/>
    <w:rsid w:val="510D4A1E"/>
    <w:rsid w:val="5117775B"/>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8076F"/>
    <w:rsid w:val="5195533B"/>
    <w:rsid w:val="519645E3"/>
    <w:rsid w:val="5199124A"/>
    <w:rsid w:val="519D2F03"/>
    <w:rsid w:val="51AD6F40"/>
    <w:rsid w:val="51B64164"/>
    <w:rsid w:val="51BE2EAE"/>
    <w:rsid w:val="51C0716E"/>
    <w:rsid w:val="51C24631"/>
    <w:rsid w:val="51C6693C"/>
    <w:rsid w:val="51D43598"/>
    <w:rsid w:val="51DA51E8"/>
    <w:rsid w:val="51DA5890"/>
    <w:rsid w:val="51E90CD5"/>
    <w:rsid w:val="51EE7B3E"/>
    <w:rsid w:val="51F51BD1"/>
    <w:rsid w:val="51F96848"/>
    <w:rsid w:val="51FB40B5"/>
    <w:rsid w:val="520204EC"/>
    <w:rsid w:val="52073487"/>
    <w:rsid w:val="520A7B89"/>
    <w:rsid w:val="520E648E"/>
    <w:rsid w:val="521C5D43"/>
    <w:rsid w:val="521D7ED7"/>
    <w:rsid w:val="5239194F"/>
    <w:rsid w:val="523A454A"/>
    <w:rsid w:val="52612620"/>
    <w:rsid w:val="526478E1"/>
    <w:rsid w:val="526A546C"/>
    <w:rsid w:val="52790FD9"/>
    <w:rsid w:val="52887A7D"/>
    <w:rsid w:val="52894DE6"/>
    <w:rsid w:val="528C5E23"/>
    <w:rsid w:val="52993DA6"/>
    <w:rsid w:val="529B5EE8"/>
    <w:rsid w:val="529F0D9B"/>
    <w:rsid w:val="52BC14CA"/>
    <w:rsid w:val="52CA3D8F"/>
    <w:rsid w:val="52CD21D8"/>
    <w:rsid w:val="52CF0A4A"/>
    <w:rsid w:val="52D65EA9"/>
    <w:rsid w:val="52DC66BA"/>
    <w:rsid w:val="52DC7C0E"/>
    <w:rsid w:val="52DD5B35"/>
    <w:rsid w:val="52DE6D3F"/>
    <w:rsid w:val="52DF42EC"/>
    <w:rsid w:val="52E427EA"/>
    <w:rsid w:val="52EB52A5"/>
    <w:rsid w:val="52EF0051"/>
    <w:rsid w:val="52FC1C88"/>
    <w:rsid w:val="53047263"/>
    <w:rsid w:val="5309400C"/>
    <w:rsid w:val="53112C1D"/>
    <w:rsid w:val="531241BA"/>
    <w:rsid w:val="53155215"/>
    <w:rsid w:val="531621BA"/>
    <w:rsid w:val="53163870"/>
    <w:rsid w:val="531D0F10"/>
    <w:rsid w:val="53207ABD"/>
    <w:rsid w:val="53290BFD"/>
    <w:rsid w:val="53293966"/>
    <w:rsid w:val="532C389F"/>
    <w:rsid w:val="532F6301"/>
    <w:rsid w:val="533E0346"/>
    <w:rsid w:val="534246C3"/>
    <w:rsid w:val="53495ACD"/>
    <w:rsid w:val="535337EC"/>
    <w:rsid w:val="53556970"/>
    <w:rsid w:val="53573B37"/>
    <w:rsid w:val="5366542B"/>
    <w:rsid w:val="536D41AE"/>
    <w:rsid w:val="536F7573"/>
    <w:rsid w:val="5370597D"/>
    <w:rsid w:val="53763151"/>
    <w:rsid w:val="53794E20"/>
    <w:rsid w:val="537A78AC"/>
    <w:rsid w:val="537D3C2F"/>
    <w:rsid w:val="538C7861"/>
    <w:rsid w:val="538F4F34"/>
    <w:rsid w:val="5391597D"/>
    <w:rsid w:val="53943B08"/>
    <w:rsid w:val="53945FB6"/>
    <w:rsid w:val="53947DE7"/>
    <w:rsid w:val="539650C0"/>
    <w:rsid w:val="53A106E5"/>
    <w:rsid w:val="53A21F9D"/>
    <w:rsid w:val="53A27D95"/>
    <w:rsid w:val="53A3255B"/>
    <w:rsid w:val="53A911A1"/>
    <w:rsid w:val="53C877C6"/>
    <w:rsid w:val="53CB208D"/>
    <w:rsid w:val="53D153F9"/>
    <w:rsid w:val="53DB35A3"/>
    <w:rsid w:val="53DC2808"/>
    <w:rsid w:val="53DF54A9"/>
    <w:rsid w:val="53E07B00"/>
    <w:rsid w:val="53E27BE1"/>
    <w:rsid w:val="53EC3D29"/>
    <w:rsid w:val="53F90D34"/>
    <w:rsid w:val="54002BFD"/>
    <w:rsid w:val="540912A5"/>
    <w:rsid w:val="541942B6"/>
    <w:rsid w:val="542A3FEF"/>
    <w:rsid w:val="542A5504"/>
    <w:rsid w:val="542F7A60"/>
    <w:rsid w:val="54346136"/>
    <w:rsid w:val="5448755D"/>
    <w:rsid w:val="544B227C"/>
    <w:rsid w:val="5452765B"/>
    <w:rsid w:val="54550067"/>
    <w:rsid w:val="54580F5A"/>
    <w:rsid w:val="5478695B"/>
    <w:rsid w:val="54860559"/>
    <w:rsid w:val="548810E8"/>
    <w:rsid w:val="548B1663"/>
    <w:rsid w:val="54906088"/>
    <w:rsid w:val="54907EF0"/>
    <w:rsid w:val="549438A5"/>
    <w:rsid w:val="549C6534"/>
    <w:rsid w:val="54A14490"/>
    <w:rsid w:val="54A153FA"/>
    <w:rsid w:val="54AB29C5"/>
    <w:rsid w:val="54AB36A1"/>
    <w:rsid w:val="54B171C4"/>
    <w:rsid w:val="54B61DA8"/>
    <w:rsid w:val="54B62C99"/>
    <w:rsid w:val="54C70F36"/>
    <w:rsid w:val="54CC47C4"/>
    <w:rsid w:val="54DF688B"/>
    <w:rsid w:val="54E95643"/>
    <w:rsid w:val="550E6C32"/>
    <w:rsid w:val="551C2E90"/>
    <w:rsid w:val="55447D53"/>
    <w:rsid w:val="554E0863"/>
    <w:rsid w:val="555737A6"/>
    <w:rsid w:val="55577AFF"/>
    <w:rsid w:val="55611FED"/>
    <w:rsid w:val="55640D30"/>
    <w:rsid w:val="556C1CC4"/>
    <w:rsid w:val="55712540"/>
    <w:rsid w:val="55743D64"/>
    <w:rsid w:val="5577741D"/>
    <w:rsid w:val="558126EC"/>
    <w:rsid w:val="55851522"/>
    <w:rsid w:val="55883323"/>
    <w:rsid w:val="55883669"/>
    <w:rsid w:val="558A44CE"/>
    <w:rsid w:val="55906233"/>
    <w:rsid w:val="55910661"/>
    <w:rsid w:val="559537DA"/>
    <w:rsid w:val="55A578C3"/>
    <w:rsid w:val="55A63100"/>
    <w:rsid w:val="55B403DD"/>
    <w:rsid w:val="55B511EE"/>
    <w:rsid w:val="55BB60C3"/>
    <w:rsid w:val="55C0140E"/>
    <w:rsid w:val="55C529C2"/>
    <w:rsid w:val="55CA3FA2"/>
    <w:rsid w:val="55CC27C2"/>
    <w:rsid w:val="55CF48E7"/>
    <w:rsid w:val="55D0342A"/>
    <w:rsid w:val="55D50C9C"/>
    <w:rsid w:val="55D849A1"/>
    <w:rsid w:val="55E31A15"/>
    <w:rsid w:val="55E5367A"/>
    <w:rsid w:val="55E83D2F"/>
    <w:rsid w:val="55F6196A"/>
    <w:rsid w:val="55F61EA0"/>
    <w:rsid w:val="560469FC"/>
    <w:rsid w:val="5609174E"/>
    <w:rsid w:val="56214A7B"/>
    <w:rsid w:val="562C71B9"/>
    <w:rsid w:val="562E1F90"/>
    <w:rsid w:val="56373380"/>
    <w:rsid w:val="563B616D"/>
    <w:rsid w:val="56436207"/>
    <w:rsid w:val="56456373"/>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A7C07"/>
    <w:rsid w:val="57A46FEE"/>
    <w:rsid w:val="57AF7168"/>
    <w:rsid w:val="57B02763"/>
    <w:rsid w:val="57B6547E"/>
    <w:rsid w:val="57BC7C9C"/>
    <w:rsid w:val="57BF1CD6"/>
    <w:rsid w:val="57BF6387"/>
    <w:rsid w:val="57D01AAC"/>
    <w:rsid w:val="57DA0D38"/>
    <w:rsid w:val="57DD4E33"/>
    <w:rsid w:val="57DE0A52"/>
    <w:rsid w:val="57DF6500"/>
    <w:rsid w:val="57E60B9B"/>
    <w:rsid w:val="57E60F74"/>
    <w:rsid w:val="57E73B61"/>
    <w:rsid w:val="57F01737"/>
    <w:rsid w:val="57F73696"/>
    <w:rsid w:val="58005923"/>
    <w:rsid w:val="5803475B"/>
    <w:rsid w:val="580A6FBE"/>
    <w:rsid w:val="580F5BC1"/>
    <w:rsid w:val="58153B58"/>
    <w:rsid w:val="5822786C"/>
    <w:rsid w:val="58243371"/>
    <w:rsid w:val="58293CFC"/>
    <w:rsid w:val="58302962"/>
    <w:rsid w:val="5835010B"/>
    <w:rsid w:val="58384ACC"/>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094784"/>
    <w:rsid w:val="591707DD"/>
    <w:rsid w:val="59267EF0"/>
    <w:rsid w:val="59376E4C"/>
    <w:rsid w:val="59421F7E"/>
    <w:rsid w:val="59424509"/>
    <w:rsid w:val="594935F2"/>
    <w:rsid w:val="594C2750"/>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B0472"/>
    <w:rsid w:val="5A3F3527"/>
    <w:rsid w:val="5A440B9D"/>
    <w:rsid w:val="5A5128C3"/>
    <w:rsid w:val="5A525A46"/>
    <w:rsid w:val="5A575C31"/>
    <w:rsid w:val="5A5C7772"/>
    <w:rsid w:val="5A6336A1"/>
    <w:rsid w:val="5A6B7C88"/>
    <w:rsid w:val="5A73612A"/>
    <w:rsid w:val="5A8F76C1"/>
    <w:rsid w:val="5A921A04"/>
    <w:rsid w:val="5A9A0A66"/>
    <w:rsid w:val="5AA541CF"/>
    <w:rsid w:val="5AAF48E4"/>
    <w:rsid w:val="5AB96041"/>
    <w:rsid w:val="5ABC4831"/>
    <w:rsid w:val="5ABC6BFA"/>
    <w:rsid w:val="5AC366EB"/>
    <w:rsid w:val="5AC43AE0"/>
    <w:rsid w:val="5AC4427C"/>
    <w:rsid w:val="5AD054B7"/>
    <w:rsid w:val="5AD149C0"/>
    <w:rsid w:val="5AD510F0"/>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1DFA"/>
    <w:rsid w:val="5C135532"/>
    <w:rsid w:val="5C1832F4"/>
    <w:rsid w:val="5C1A3044"/>
    <w:rsid w:val="5C3B2DCF"/>
    <w:rsid w:val="5C500AF8"/>
    <w:rsid w:val="5C517866"/>
    <w:rsid w:val="5C523483"/>
    <w:rsid w:val="5C5348B4"/>
    <w:rsid w:val="5C565754"/>
    <w:rsid w:val="5C5E033F"/>
    <w:rsid w:val="5C6875EE"/>
    <w:rsid w:val="5C6F12DC"/>
    <w:rsid w:val="5C732094"/>
    <w:rsid w:val="5C7A2919"/>
    <w:rsid w:val="5C9327E6"/>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B5629"/>
    <w:rsid w:val="5D315CEB"/>
    <w:rsid w:val="5D326462"/>
    <w:rsid w:val="5D3926A3"/>
    <w:rsid w:val="5D3B59DF"/>
    <w:rsid w:val="5D473075"/>
    <w:rsid w:val="5D475E41"/>
    <w:rsid w:val="5D4822EE"/>
    <w:rsid w:val="5D5864DB"/>
    <w:rsid w:val="5D73393B"/>
    <w:rsid w:val="5D76353B"/>
    <w:rsid w:val="5D784379"/>
    <w:rsid w:val="5D7A5DFA"/>
    <w:rsid w:val="5D7B3457"/>
    <w:rsid w:val="5D8203B9"/>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95F66"/>
    <w:rsid w:val="5DED4540"/>
    <w:rsid w:val="5DED5113"/>
    <w:rsid w:val="5DFA6DC0"/>
    <w:rsid w:val="5E00720B"/>
    <w:rsid w:val="5E012896"/>
    <w:rsid w:val="5E0825B2"/>
    <w:rsid w:val="5E0A6049"/>
    <w:rsid w:val="5E156B70"/>
    <w:rsid w:val="5E1574AD"/>
    <w:rsid w:val="5E21165A"/>
    <w:rsid w:val="5E226508"/>
    <w:rsid w:val="5E2368B5"/>
    <w:rsid w:val="5E343C47"/>
    <w:rsid w:val="5E344390"/>
    <w:rsid w:val="5E352EB6"/>
    <w:rsid w:val="5E3830BD"/>
    <w:rsid w:val="5E392E7F"/>
    <w:rsid w:val="5E400BF0"/>
    <w:rsid w:val="5E4250B0"/>
    <w:rsid w:val="5E4A3E88"/>
    <w:rsid w:val="5E4E539E"/>
    <w:rsid w:val="5E5F0687"/>
    <w:rsid w:val="5E6454D9"/>
    <w:rsid w:val="5E680BE8"/>
    <w:rsid w:val="5E6A1D43"/>
    <w:rsid w:val="5E6B7FF0"/>
    <w:rsid w:val="5E783202"/>
    <w:rsid w:val="5E7842EE"/>
    <w:rsid w:val="5E803D55"/>
    <w:rsid w:val="5E854DAE"/>
    <w:rsid w:val="5EA36A9B"/>
    <w:rsid w:val="5EA648E2"/>
    <w:rsid w:val="5EB32415"/>
    <w:rsid w:val="5EB52E6F"/>
    <w:rsid w:val="5EC94A60"/>
    <w:rsid w:val="5ED95EEE"/>
    <w:rsid w:val="5EE55DDE"/>
    <w:rsid w:val="5EF04AC4"/>
    <w:rsid w:val="5EF47473"/>
    <w:rsid w:val="5EFE064F"/>
    <w:rsid w:val="5F061DE5"/>
    <w:rsid w:val="5F09081F"/>
    <w:rsid w:val="5F0E0DD7"/>
    <w:rsid w:val="5F1111AD"/>
    <w:rsid w:val="5F121A0D"/>
    <w:rsid w:val="5F1B27DE"/>
    <w:rsid w:val="5F2C64A1"/>
    <w:rsid w:val="5F39582E"/>
    <w:rsid w:val="5F405CF4"/>
    <w:rsid w:val="5F45602C"/>
    <w:rsid w:val="5F4632C4"/>
    <w:rsid w:val="5F482400"/>
    <w:rsid w:val="5F4A58A7"/>
    <w:rsid w:val="5F527FC9"/>
    <w:rsid w:val="5F531ECF"/>
    <w:rsid w:val="5F57147C"/>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15F0E"/>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6608F"/>
    <w:rsid w:val="60B77B1A"/>
    <w:rsid w:val="60BA0952"/>
    <w:rsid w:val="60C02A5F"/>
    <w:rsid w:val="60C5483E"/>
    <w:rsid w:val="60C566E2"/>
    <w:rsid w:val="60C867C5"/>
    <w:rsid w:val="60D3354A"/>
    <w:rsid w:val="60D4561F"/>
    <w:rsid w:val="60D67E78"/>
    <w:rsid w:val="60DB0800"/>
    <w:rsid w:val="60DE0DB6"/>
    <w:rsid w:val="60E25F60"/>
    <w:rsid w:val="60E54273"/>
    <w:rsid w:val="60F46839"/>
    <w:rsid w:val="60F50F5E"/>
    <w:rsid w:val="61027740"/>
    <w:rsid w:val="61034098"/>
    <w:rsid w:val="61067A64"/>
    <w:rsid w:val="610C7D1D"/>
    <w:rsid w:val="61105E47"/>
    <w:rsid w:val="6112529A"/>
    <w:rsid w:val="611A7B15"/>
    <w:rsid w:val="611C59F7"/>
    <w:rsid w:val="611F0B09"/>
    <w:rsid w:val="61200AAF"/>
    <w:rsid w:val="612D2321"/>
    <w:rsid w:val="6138074F"/>
    <w:rsid w:val="61455CF4"/>
    <w:rsid w:val="61466898"/>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CE5724"/>
    <w:rsid w:val="61D21120"/>
    <w:rsid w:val="61D415A1"/>
    <w:rsid w:val="61E728F9"/>
    <w:rsid w:val="61F3667F"/>
    <w:rsid w:val="61F43F82"/>
    <w:rsid w:val="61FB110C"/>
    <w:rsid w:val="620B2B74"/>
    <w:rsid w:val="6210415F"/>
    <w:rsid w:val="62185165"/>
    <w:rsid w:val="621D66D4"/>
    <w:rsid w:val="62220209"/>
    <w:rsid w:val="622A35B7"/>
    <w:rsid w:val="622E2CF4"/>
    <w:rsid w:val="622F5ABF"/>
    <w:rsid w:val="623D0C68"/>
    <w:rsid w:val="62430C65"/>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67D61"/>
    <w:rsid w:val="62E157FC"/>
    <w:rsid w:val="62E81148"/>
    <w:rsid w:val="62E83A0D"/>
    <w:rsid w:val="62F76986"/>
    <w:rsid w:val="62FA3D7F"/>
    <w:rsid w:val="63074CE8"/>
    <w:rsid w:val="631360BB"/>
    <w:rsid w:val="631C3A36"/>
    <w:rsid w:val="63212420"/>
    <w:rsid w:val="632143FB"/>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8F7C25"/>
    <w:rsid w:val="639A118D"/>
    <w:rsid w:val="63A85CD1"/>
    <w:rsid w:val="63AB2A39"/>
    <w:rsid w:val="63B02C42"/>
    <w:rsid w:val="63C51AD9"/>
    <w:rsid w:val="63C54411"/>
    <w:rsid w:val="63C733FE"/>
    <w:rsid w:val="63CD27C8"/>
    <w:rsid w:val="63CD4C2D"/>
    <w:rsid w:val="63CF2629"/>
    <w:rsid w:val="63D40E51"/>
    <w:rsid w:val="63D5500A"/>
    <w:rsid w:val="63D85FCA"/>
    <w:rsid w:val="63E263F4"/>
    <w:rsid w:val="63E418C9"/>
    <w:rsid w:val="63E94E5A"/>
    <w:rsid w:val="63FA2A2C"/>
    <w:rsid w:val="63FB6EC6"/>
    <w:rsid w:val="63FD7654"/>
    <w:rsid w:val="640C2BB6"/>
    <w:rsid w:val="6411454E"/>
    <w:rsid w:val="643F3FFC"/>
    <w:rsid w:val="644A69BC"/>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8F35CA"/>
    <w:rsid w:val="6590595E"/>
    <w:rsid w:val="65972789"/>
    <w:rsid w:val="659C17EE"/>
    <w:rsid w:val="65A65E7D"/>
    <w:rsid w:val="65BC6E17"/>
    <w:rsid w:val="65BD3777"/>
    <w:rsid w:val="65BE5ECC"/>
    <w:rsid w:val="65CA6356"/>
    <w:rsid w:val="65D64BB3"/>
    <w:rsid w:val="65D70270"/>
    <w:rsid w:val="65E91B08"/>
    <w:rsid w:val="65F5725F"/>
    <w:rsid w:val="65F836BD"/>
    <w:rsid w:val="66032E7B"/>
    <w:rsid w:val="66053581"/>
    <w:rsid w:val="660A19B0"/>
    <w:rsid w:val="661026AA"/>
    <w:rsid w:val="661635F6"/>
    <w:rsid w:val="661D3F49"/>
    <w:rsid w:val="66213A5C"/>
    <w:rsid w:val="6624683A"/>
    <w:rsid w:val="662D2EA4"/>
    <w:rsid w:val="6631571B"/>
    <w:rsid w:val="663D054E"/>
    <w:rsid w:val="66460692"/>
    <w:rsid w:val="6658158E"/>
    <w:rsid w:val="66631FDD"/>
    <w:rsid w:val="66727620"/>
    <w:rsid w:val="66763EED"/>
    <w:rsid w:val="667930F9"/>
    <w:rsid w:val="6679372B"/>
    <w:rsid w:val="667B3C56"/>
    <w:rsid w:val="66807692"/>
    <w:rsid w:val="66860680"/>
    <w:rsid w:val="66953491"/>
    <w:rsid w:val="66980BF6"/>
    <w:rsid w:val="66A56CDB"/>
    <w:rsid w:val="66AD65FC"/>
    <w:rsid w:val="66B81454"/>
    <w:rsid w:val="66BE1292"/>
    <w:rsid w:val="66BF76F1"/>
    <w:rsid w:val="66D553C4"/>
    <w:rsid w:val="66D61A8D"/>
    <w:rsid w:val="66DA3497"/>
    <w:rsid w:val="66DC1F9A"/>
    <w:rsid w:val="66DC5BF8"/>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9F6DE4"/>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7F73D3E"/>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70AE1"/>
    <w:rsid w:val="68733F18"/>
    <w:rsid w:val="687442EE"/>
    <w:rsid w:val="68772A56"/>
    <w:rsid w:val="687E1768"/>
    <w:rsid w:val="688D08FF"/>
    <w:rsid w:val="689B3E14"/>
    <w:rsid w:val="689C5C1D"/>
    <w:rsid w:val="689D6F4C"/>
    <w:rsid w:val="689F2FA0"/>
    <w:rsid w:val="68A02CE9"/>
    <w:rsid w:val="68A036C8"/>
    <w:rsid w:val="68A41350"/>
    <w:rsid w:val="68A96E07"/>
    <w:rsid w:val="68AD26AA"/>
    <w:rsid w:val="68AE2B22"/>
    <w:rsid w:val="68BC14B0"/>
    <w:rsid w:val="68BC512A"/>
    <w:rsid w:val="68BF0078"/>
    <w:rsid w:val="68C20D16"/>
    <w:rsid w:val="68DD619B"/>
    <w:rsid w:val="68EC3A15"/>
    <w:rsid w:val="68ED69A7"/>
    <w:rsid w:val="68FD5593"/>
    <w:rsid w:val="68FD70C8"/>
    <w:rsid w:val="69073414"/>
    <w:rsid w:val="690C4501"/>
    <w:rsid w:val="6911326A"/>
    <w:rsid w:val="69183F42"/>
    <w:rsid w:val="691B307E"/>
    <w:rsid w:val="691D4548"/>
    <w:rsid w:val="692B3BF3"/>
    <w:rsid w:val="692F1256"/>
    <w:rsid w:val="69301A1D"/>
    <w:rsid w:val="6934218F"/>
    <w:rsid w:val="693C5AA5"/>
    <w:rsid w:val="693D00F1"/>
    <w:rsid w:val="693E13B7"/>
    <w:rsid w:val="69421566"/>
    <w:rsid w:val="69423AF8"/>
    <w:rsid w:val="69430240"/>
    <w:rsid w:val="694A6D5C"/>
    <w:rsid w:val="6951205B"/>
    <w:rsid w:val="6953741D"/>
    <w:rsid w:val="69552B47"/>
    <w:rsid w:val="6956014F"/>
    <w:rsid w:val="696F3842"/>
    <w:rsid w:val="69731101"/>
    <w:rsid w:val="6974083C"/>
    <w:rsid w:val="697D087B"/>
    <w:rsid w:val="69807B1E"/>
    <w:rsid w:val="69A42157"/>
    <w:rsid w:val="69A71B52"/>
    <w:rsid w:val="69A7770D"/>
    <w:rsid w:val="69A966F8"/>
    <w:rsid w:val="69AC0B64"/>
    <w:rsid w:val="69B27491"/>
    <w:rsid w:val="69B27C94"/>
    <w:rsid w:val="69B30B08"/>
    <w:rsid w:val="69B32DF5"/>
    <w:rsid w:val="69BA2288"/>
    <w:rsid w:val="69BB7CE2"/>
    <w:rsid w:val="69D2134C"/>
    <w:rsid w:val="69D537ED"/>
    <w:rsid w:val="69D54499"/>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5322B"/>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40C24"/>
    <w:rsid w:val="6C3A624E"/>
    <w:rsid w:val="6C3F4795"/>
    <w:rsid w:val="6C431738"/>
    <w:rsid w:val="6C505966"/>
    <w:rsid w:val="6C5D04BB"/>
    <w:rsid w:val="6C666C3C"/>
    <w:rsid w:val="6C6833E1"/>
    <w:rsid w:val="6C741417"/>
    <w:rsid w:val="6C8E4315"/>
    <w:rsid w:val="6C935206"/>
    <w:rsid w:val="6C95615F"/>
    <w:rsid w:val="6CA94419"/>
    <w:rsid w:val="6CB242A2"/>
    <w:rsid w:val="6CC50FDA"/>
    <w:rsid w:val="6CC818AD"/>
    <w:rsid w:val="6CE0612A"/>
    <w:rsid w:val="6CE269D3"/>
    <w:rsid w:val="6CEC448A"/>
    <w:rsid w:val="6CED284E"/>
    <w:rsid w:val="6CF04EB7"/>
    <w:rsid w:val="6CF17872"/>
    <w:rsid w:val="6CF76712"/>
    <w:rsid w:val="6CFD23D1"/>
    <w:rsid w:val="6D033EFD"/>
    <w:rsid w:val="6D0652BF"/>
    <w:rsid w:val="6D0A7734"/>
    <w:rsid w:val="6D0B0E35"/>
    <w:rsid w:val="6D0D6D19"/>
    <w:rsid w:val="6D273B17"/>
    <w:rsid w:val="6D274676"/>
    <w:rsid w:val="6D2C7AF1"/>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8E4D9D"/>
    <w:rsid w:val="6D90338E"/>
    <w:rsid w:val="6D925740"/>
    <w:rsid w:val="6D9D3EE4"/>
    <w:rsid w:val="6D9E7C69"/>
    <w:rsid w:val="6DA71839"/>
    <w:rsid w:val="6DA84071"/>
    <w:rsid w:val="6DB20233"/>
    <w:rsid w:val="6DB81D13"/>
    <w:rsid w:val="6DC54D30"/>
    <w:rsid w:val="6DC65806"/>
    <w:rsid w:val="6DD74DB3"/>
    <w:rsid w:val="6DDF0294"/>
    <w:rsid w:val="6DE9618F"/>
    <w:rsid w:val="6DED02CD"/>
    <w:rsid w:val="6DF07F1A"/>
    <w:rsid w:val="6DF6740D"/>
    <w:rsid w:val="6DF92BCB"/>
    <w:rsid w:val="6DFB06CC"/>
    <w:rsid w:val="6E035B81"/>
    <w:rsid w:val="6E085C99"/>
    <w:rsid w:val="6E0B783E"/>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33CB5"/>
    <w:rsid w:val="6E663A7F"/>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534AA"/>
    <w:rsid w:val="6EE939F2"/>
    <w:rsid w:val="6F021829"/>
    <w:rsid w:val="6F08724A"/>
    <w:rsid w:val="6F14289F"/>
    <w:rsid w:val="6F162C84"/>
    <w:rsid w:val="6F28474F"/>
    <w:rsid w:val="6F350882"/>
    <w:rsid w:val="6F351CE7"/>
    <w:rsid w:val="6F35635E"/>
    <w:rsid w:val="6F3713E9"/>
    <w:rsid w:val="6F384951"/>
    <w:rsid w:val="6F4876AF"/>
    <w:rsid w:val="6F4D4E11"/>
    <w:rsid w:val="6F537FC0"/>
    <w:rsid w:val="6F607895"/>
    <w:rsid w:val="6F61040C"/>
    <w:rsid w:val="6F6776E1"/>
    <w:rsid w:val="6F702CF5"/>
    <w:rsid w:val="6F7A0C79"/>
    <w:rsid w:val="6F7E1B78"/>
    <w:rsid w:val="6F9C5D71"/>
    <w:rsid w:val="6FA3781E"/>
    <w:rsid w:val="6FAC61CF"/>
    <w:rsid w:val="6FAF5C06"/>
    <w:rsid w:val="6FB0155D"/>
    <w:rsid w:val="6FB32C37"/>
    <w:rsid w:val="6FB415FB"/>
    <w:rsid w:val="6FB80EE8"/>
    <w:rsid w:val="6FC0781E"/>
    <w:rsid w:val="6FD36624"/>
    <w:rsid w:val="6FE53444"/>
    <w:rsid w:val="6FE76FE3"/>
    <w:rsid w:val="6FEE75ED"/>
    <w:rsid w:val="6FF1528E"/>
    <w:rsid w:val="6FF561D1"/>
    <w:rsid w:val="700C0460"/>
    <w:rsid w:val="70103BE7"/>
    <w:rsid w:val="701458A7"/>
    <w:rsid w:val="70152C7C"/>
    <w:rsid w:val="70170F2B"/>
    <w:rsid w:val="701830B7"/>
    <w:rsid w:val="701D365B"/>
    <w:rsid w:val="701E2FAB"/>
    <w:rsid w:val="70206C25"/>
    <w:rsid w:val="702267D2"/>
    <w:rsid w:val="70370653"/>
    <w:rsid w:val="70385F59"/>
    <w:rsid w:val="70387A8F"/>
    <w:rsid w:val="70494AF1"/>
    <w:rsid w:val="704A6916"/>
    <w:rsid w:val="705D262E"/>
    <w:rsid w:val="70680AC8"/>
    <w:rsid w:val="70684400"/>
    <w:rsid w:val="706D51B8"/>
    <w:rsid w:val="70712877"/>
    <w:rsid w:val="70767F2C"/>
    <w:rsid w:val="70785A86"/>
    <w:rsid w:val="707E62BB"/>
    <w:rsid w:val="70816CC6"/>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CF43BD"/>
    <w:rsid w:val="70D91094"/>
    <w:rsid w:val="70DB76EF"/>
    <w:rsid w:val="70E47264"/>
    <w:rsid w:val="70F04773"/>
    <w:rsid w:val="710524E2"/>
    <w:rsid w:val="710A665F"/>
    <w:rsid w:val="710B03C6"/>
    <w:rsid w:val="711604AB"/>
    <w:rsid w:val="712762EB"/>
    <w:rsid w:val="712D2ADB"/>
    <w:rsid w:val="712D4159"/>
    <w:rsid w:val="71346CB6"/>
    <w:rsid w:val="7136388E"/>
    <w:rsid w:val="714200B6"/>
    <w:rsid w:val="71431855"/>
    <w:rsid w:val="7143374A"/>
    <w:rsid w:val="7148649A"/>
    <w:rsid w:val="715117C4"/>
    <w:rsid w:val="71536701"/>
    <w:rsid w:val="71554E10"/>
    <w:rsid w:val="71556A6D"/>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87D00"/>
    <w:rsid w:val="71EF5D41"/>
    <w:rsid w:val="71FC70DF"/>
    <w:rsid w:val="72056436"/>
    <w:rsid w:val="720730FF"/>
    <w:rsid w:val="720979A0"/>
    <w:rsid w:val="720F633E"/>
    <w:rsid w:val="72130B93"/>
    <w:rsid w:val="721C688B"/>
    <w:rsid w:val="72200AF0"/>
    <w:rsid w:val="722E7DFE"/>
    <w:rsid w:val="723749D7"/>
    <w:rsid w:val="724E54F1"/>
    <w:rsid w:val="7254202A"/>
    <w:rsid w:val="72632A3F"/>
    <w:rsid w:val="727334E4"/>
    <w:rsid w:val="72756082"/>
    <w:rsid w:val="72772DDB"/>
    <w:rsid w:val="727B2E39"/>
    <w:rsid w:val="72827328"/>
    <w:rsid w:val="728B2CA4"/>
    <w:rsid w:val="728B509F"/>
    <w:rsid w:val="728F0A31"/>
    <w:rsid w:val="72923080"/>
    <w:rsid w:val="729A297B"/>
    <w:rsid w:val="72A310CE"/>
    <w:rsid w:val="72A60BAC"/>
    <w:rsid w:val="72B23B41"/>
    <w:rsid w:val="72B751B8"/>
    <w:rsid w:val="72CE3184"/>
    <w:rsid w:val="72CE7D06"/>
    <w:rsid w:val="72CF40C2"/>
    <w:rsid w:val="72D456A5"/>
    <w:rsid w:val="72E70D52"/>
    <w:rsid w:val="72EA6B66"/>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926CA"/>
    <w:rsid w:val="736A02D8"/>
    <w:rsid w:val="736C1945"/>
    <w:rsid w:val="73814AA3"/>
    <w:rsid w:val="73893467"/>
    <w:rsid w:val="738A36E1"/>
    <w:rsid w:val="73912A81"/>
    <w:rsid w:val="73970334"/>
    <w:rsid w:val="739B1EFF"/>
    <w:rsid w:val="73A16D22"/>
    <w:rsid w:val="73A338E8"/>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522D94"/>
    <w:rsid w:val="745E7AEB"/>
    <w:rsid w:val="746B086B"/>
    <w:rsid w:val="746C430C"/>
    <w:rsid w:val="74775754"/>
    <w:rsid w:val="749D5800"/>
    <w:rsid w:val="74A73312"/>
    <w:rsid w:val="74B06962"/>
    <w:rsid w:val="74B32215"/>
    <w:rsid w:val="74BC7516"/>
    <w:rsid w:val="74C0607C"/>
    <w:rsid w:val="74C46840"/>
    <w:rsid w:val="74CD412E"/>
    <w:rsid w:val="74D575AA"/>
    <w:rsid w:val="74D71DDE"/>
    <w:rsid w:val="74DA7956"/>
    <w:rsid w:val="74E11F86"/>
    <w:rsid w:val="74EB4C9B"/>
    <w:rsid w:val="74FB509B"/>
    <w:rsid w:val="74FB6035"/>
    <w:rsid w:val="7502618E"/>
    <w:rsid w:val="750934A8"/>
    <w:rsid w:val="750A15E4"/>
    <w:rsid w:val="750C76FA"/>
    <w:rsid w:val="752B3381"/>
    <w:rsid w:val="75325694"/>
    <w:rsid w:val="75376E15"/>
    <w:rsid w:val="753B130E"/>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191BDF"/>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74D6A"/>
    <w:rsid w:val="76690632"/>
    <w:rsid w:val="767469E2"/>
    <w:rsid w:val="76775F0B"/>
    <w:rsid w:val="767E2DAC"/>
    <w:rsid w:val="76894819"/>
    <w:rsid w:val="768D57E3"/>
    <w:rsid w:val="76932317"/>
    <w:rsid w:val="76A53B61"/>
    <w:rsid w:val="76A56898"/>
    <w:rsid w:val="76B153BA"/>
    <w:rsid w:val="76BE7B18"/>
    <w:rsid w:val="76C72CA0"/>
    <w:rsid w:val="76ED0EF4"/>
    <w:rsid w:val="76F2295F"/>
    <w:rsid w:val="76F50A9F"/>
    <w:rsid w:val="76FD2D1D"/>
    <w:rsid w:val="770F088C"/>
    <w:rsid w:val="77187F65"/>
    <w:rsid w:val="77284F7D"/>
    <w:rsid w:val="7729766A"/>
    <w:rsid w:val="772D35A6"/>
    <w:rsid w:val="772D3786"/>
    <w:rsid w:val="772E3131"/>
    <w:rsid w:val="773175A0"/>
    <w:rsid w:val="773A62B8"/>
    <w:rsid w:val="77422DC5"/>
    <w:rsid w:val="7743723B"/>
    <w:rsid w:val="77490C6C"/>
    <w:rsid w:val="774B3934"/>
    <w:rsid w:val="774D47BD"/>
    <w:rsid w:val="77551F00"/>
    <w:rsid w:val="77650E66"/>
    <w:rsid w:val="776A53C0"/>
    <w:rsid w:val="776D06F1"/>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563AF"/>
    <w:rsid w:val="7849196F"/>
    <w:rsid w:val="784B1F9E"/>
    <w:rsid w:val="78591903"/>
    <w:rsid w:val="787659AD"/>
    <w:rsid w:val="7888219B"/>
    <w:rsid w:val="78887070"/>
    <w:rsid w:val="788908C8"/>
    <w:rsid w:val="78993306"/>
    <w:rsid w:val="78A561F3"/>
    <w:rsid w:val="78AB3452"/>
    <w:rsid w:val="78B0117B"/>
    <w:rsid w:val="78B91C9F"/>
    <w:rsid w:val="78BC539D"/>
    <w:rsid w:val="78C134B0"/>
    <w:rsid w:val="78C64CC0"/>
    <w:rsid w:val="78C67D14"/>
    <w:rsid w:val="78CB3193"/>
    <w:rsid w:val="78CD3535"/>
    <w:rsid w:val="78CE6996"/>
    <w:rsid w:val="78D97F0E"/>
    <w:rsid w:val="78DA009A"/>
    <w:rsid w:val="78DC2FA9"/>
    <w:rsid w:val="78DD4939"/>
    <w:rsid w:val="78E062D1"/>
    <w:rsid w:val="78F02903"/>
    <w:rsid w:val="78F40C87"/>
    <w:rsid w:val="78F66B5A"/>
    <w:rsid w:val="78FC7FC2"/>
    <w:rsid w:val="79042DE3"/>
    <w:rsid w:val="790D0BF3"/>
    <w:rsid w:val="790D4F70"/>
    <w:rsid w:val="79134A38"/>
    <w:rsid w:val="791474A8"/>
    <w:rsid w:val="79176206"/>
    <w:rsid w:val="79193B81"/>
    <w:rsid w:val="791C7612"/>
    <w:rsid w:val="79213934"/>
    <w:rsid w:val="79221399"/>
    <w:rsid w:val="79342027"/>
    <w:rsid w:val="79350D11"/>
    <w:rsid w:val="79351894"/>
    <w:rsid w:val="7940572D"/>
    <w:rsid w:val="79461391"/>
    <w:rsid w:val="79474814"/>
    <w:rsid w:val="79492AA1"/>
    <w:rsid w:val="794B4D74"/>
    <w:rsid w:val="79501475"/>
    <w:rsid w:val="79524043"/>
    <w:rsid w:val="795A5499"/>
    <w:rsid w:val="796E35F2"/>
    <w:rsid w:val="7971290E"/>
    <w:rsid w:val="79762768"/>
    <w:rsid w:val="797951A9"/>
    <w:rsid w:val="7986795B"/>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57806"/>
    <w:rsid w:val="7A2537EF"/>
    <w:rsid w:val="7A262C2D"/>
    <w:rsid w:val="7A2706F3"/>
    <w:rsid w:val="7A291938"/>
    <w:rsid w:val="7A3D7CC0"/>
    <w:rsid w:val="7A4006D3"/>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B37F9E"/>
    <w:rsid w:val="7BC17EBE"/>
    <w:rsid w:val="7BC43666"/>
    <w:rsid w:val="7BC8293C"/>
    <w:rsid w:val="7BC87053"/>
    <w:rsid w:val="7BD13894"/>
    <w:rsid w:val="7BD41142"/>
    <w:rsid w:val="7BDC009C"/>
    <w:rsid w:val="7BDE0174"/>
    <w:rsid w:val="7BDF18E6"/>
    <w:rsid w:val="7BE131F6"/>
    <w:rsid w:val="7BF11348"/>
    <w:rsid w:val="7BF542FE"/>
    <w:rsid w:val="7BFF0642"/>
    <w:rsid w:val="7C056E44"/>
    <w:rsid w:val="7C206952"/>
    <w:rsid w:val="7C2D1C60"/>
    <w:rsid w:val="7C3832F5"/>
    <w:rsid w:val="7C42281E"/>
    <w:rsid w:val="7C464CA1"/>
    <w:rsid w:val="7C610C91"/>
    <w:rsid w:val="7C613AEC"/>
    <w:rsid w:val="7C6E7E2C"/>
    <w:rsid w:val="7C734075"/>
    <w:rsid w:val="7C773CA6"/>
    <w:rsid w:val="7C7F05F8"/>
    <w:rsid w:val="7C815D2A"/>
    <w:rsid w:val="7C831756"/>
    <w:rsid w:val="7C8C4CAB"/>
    <w:rsid w:val="7C982736"/>
    <w:rsid w:val="7C9A2FA3"/>
    <w:rsid w:val="7C9E5A24"/>
    <w:rsid w:val="7CA3583F"/>
    <w:rsid w:val="7CA67728"/>
    <w:rsid w:val="7CB62523"/>
    <w:rsid w:val="7CCA5583"/>
    <w:rsid w:val="7CD04189"/>
    <w:rsid w:val="7CD72F9B"/>
    <w:rsid w:val="7CE146B6"/>
    <w:rsid w:val="7CE65C11"/>
    <w:rsid w:val="7CE670CA"/>
    <w:rsid w:val="7CE70935"/>
    <w:rsid w:val="7CF84A31"/>
    <w:rsid w:val="7CFC44C2"/>
    <w:rsid w:val="7D013B39"/>
    <w:rsid w:val="7D060FAD"/>
    <w:rsid w:val="7D0826CA"/>
    <w:rsid w:val="7D0D06E5"/>
    <w:rsid w:val="7D130509"/>
    <w:rsid w:val="7D1946C0"/>
    <w:rsid w:val="7D1D7FE9"/>
    <w:rsid w:val="7D292A41"/>
    <w:rsid w:val="7D2A5CCB"/>
    <w:rsid w:val="7D401CAA"/>
    <w:rsid w:val="7D422593"/>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B2C44"/>
    <w:rsid w:val="7DF464FC"/>
    <w:rsid w:val="7DF8005A"/>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42C83"/>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144BB"/>
    <w:rsid w:val="7F4A17F6"/>
    <w:rsid w:val="7F536DE1"/>
    <w:rsid w:val="7F6339F7"/>
    <w:rsid w:val="7F6A77C7"/>
    <w:rsid w:val="7F8660CD"/>
    <w:rsid w:val="7F8A2E2C"/>
    <w:rsid w:val="7F963419"/>
    <w:rsid w:val="7FA069EC"/>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2022-09-30T14:51:23Z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